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drawings/drawing1.xml" ContentType="application/vnd.openxmlformats-officedocument.drawingml.chartshapes+xml"/>
  <Override PartName="/word/charts/chart3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Override1.xml" ContentType="application/vnd.openxmlformats-officedocument.themeOverride+xml"/>
  <Override PartName="/word/charts/chart6.xml" ContentType="application/vnd.openxmlformats-officedocument.drawingml.chart+xml"/>
  <Override PartName="/word/theme/themeOverride2.xml" ContentType="application/vnd.openxmlformats-officedocument.themeOverride+xml"/>
  <Override PartName="/word/charts/chart7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3.xml" ContentType="application/vnd.openxmlformats-officedocument.themeOverride+xml"/>
  <Override PartName="/word/charts/chart8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4.xml" ContentType="application/vnd.openxmlformats-officedocument.themeOverrid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D3A9102" w14:textId="77777777" w:rsidR="001C2560" w:rsidRDefault="001C2560" w:rsidP="001C2560">
      <w:pPr>
        <w:jc w:val="left"/>
        <w:rPr>
          <w:rFonts w:ascii="Calibri Light" w:hAnsi="Calibri Light" w:cs="Segoe UI"/>
          <w:sz w:val="8"/>
          <w:szCs w:val="16"/>
        </w:rPr>
      </w:pPr>
      <w:bookmarkStart w:id="0" w:name="_GoBack"/>
      <w:bookmarkEnd w:id="0"/>
    </w:p>
    <w:tbl>
      <w:tblPr>
        <w:tblW w:w="10632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632"/>
      </w:tblGrid>
      <w:tr w:rsidR="001C2560" w:rsidRPr="00E84F58" w14:paraId="153C6952" w14:textId="77777777" w:rsidTr="001C2560">
        <w:tc>
          <w:tcPr>
            <w:tcW w:w="10632" w:type="dxa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14:paraId="7AD9EBEA" w14:textId="7EF6CA10" w:rsidR="001C2560" w:rsidRPr="00E84F58" w:rsidRDefault="001C2560" w:rsidP="001C2560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b/>
                <w:color w:val="C0504D"/>
                <w:sz w:val="20"/>
                <w:szCs w:val="20"/>
              </w:rPr>
              <w:t>THE GLOBAL LIQUEFIED NATURAL GAS (LNG) MARKET</w:t>
            </w:r>
          </w:p>
        </w:tc>
      </w:tr>
    </w:tbl>
    <w:p w14:paraId="49A12543" w14:textId="77777777" w:rsidR="001C2560" w:rsidRDefault="001C2560" w:rsidP="00956FC1">
      <w:pPr>
        <w:jc w:val="left"/>
        <w:rPr>
          <w:rFonts w:ascii="Calibri Light" w:hAnsi="Calibri Light" w:cs="Segoe UI"/>
          <w:sz w:val="8"/>
          <w:szCs w:val="16"/>
        </w:rPr>
      </w:pPr>
    </w:p>
    <w:tbl>
      <w:tblPr>
        <w:tblStyle w:val="TableGrid"/>
        <w:tblW w:w="10713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3969"/>
        <w:gridCol w:w="57"/>
        <w:gridCol w:w="24"/>
      </w:tblGrid>
      <w:tr w:rsidR="00C539AA" w:rsidRPr="0067689A" w14:paraId="7B28CBB2" w14:textId="77777777" w:rsidTr="001C2560">
        <w:trPr>
          <w:trHeight w:val="290"/>
        </w:trPr>
        <w:tc>
          <w:tcPr>
            <w:tcW w:w="6663" w:type="dxa"/>
            <w:shd w:val="clear" w:color="auto" w:fill="C0504D" w:themeFill="accent2"/>
            <w:vAlign w:val="center"/>
          </w:tcPr>
          <w:p w14:paraId="74C9172E" w14:textId="1939F8CC" w:rsidR="00C539AA" w:rsidRPr="007F6E9C" w:rsidRDefault="00C539AA" w:rsidP="00C539AA">
            <w:pPr>
              <w:jc w:val="center"/>
              <w:rPr>
                <w:rFonts w:cs="Arial"/>
                <w:sz w:val="20"/>
                <w:szCs w:val="20"/>
              </w:rPr>
            </w:pPr>
            <w:r w:rsidRPr="007F6E9C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Global LNG trade</w:t>
            </w:r>
          </w:p>
        </w:tc>
        <w:tc>
          <w:tcPr>
            <w:tcW w:w="4050" w:type="dxa"/>
            <w:gridSpan w:val="3"/>
            <w:vMerge w:val="restart"/>
          </w:tcPr>
          <w:p w14:paraId="29C5491E" w14:textId="21D6FF91" w:rsidR="00C539AA" w:rsidRPr="00AE2735" w:rsidRDefault="00C539AA" w:rsidP="00106D53">
            <w:pPr>
              <w:spacing w:before="30" w:after="30"/>
              <w:rPr>
                <w:rFonts w:cs="Arial"/>
                <w:sz w:val="18"/>
                <w:szCs w:val="18"/>
              </w:rPr>
            </w:pPr>
          </w:p>
          <w:p w14:paraId="3D845A5F" w14:textId="4B6A90C4" w:rsidR="00C539AA" w:rsidRPr="0022453E" w:rsidRDefault="00F351C6" w:rsidP="00EE3637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20"/>
              </w:rPr>
            </w:pPr>
            <w:r w:rsidRPr="0022453E">
              <w:rPr>
                <w:rFonts w:cs="Arial"/>
                <w:sz w:val="18"/>
                <w:szCs w:val="20"/>
              </w:rPr>
              <w:t>Global LNG trade in 201</w:t>
            </w:r>
            <w:r w:rsidR="00CA6B21" w:rsidRPr="0022453E">
              <w:rPr>
                <w:rFonts w:cs="Arial"/>
                <w:sz w:val="18"/>
                <w:szCs w:val="20"/>
              </w:rPr>
              <w:t>9</w:t>
            </w:r>
            <w:r w:rsidRPr="0022453E">
              <w:rPr>
                <w:rFonts w:cs="Arial"/>
                <w:sz w:val="18"/>
                <w:szCs w:val="20"/>
              </w:rPr>
              <w:t xml:space="preserve"> was 3</w:t>
            </w:r>
            <w:r w:rsidR="00CA6B21" w:rsidRPr="0022453E">
              <w:rPr>
                <w:rFonts w:cs="Arial"/>
                <w:sz w:val="18"/>
                <w:szCs w:val="20"/>
              </w:rPr>
              <w:t>54</w:t>
            </w:r>
            <w:r w:rsidRPr="0022453E">
              <w:rPr>
                <w:rFonts w:cs="Arial"/>
                <w:sz w:val="18"/>
                <w:szCs w:val="20"/>
              </w:rPr>
              <w:t>.</w:t>
            </w:r>
            <w:r w:rsidR="00CA6B21" w:rsidRPr="0022453E">
              <w:rPr>
                <w:rFonts w:cs="Arial"/>
                <w:sz w:val="18"/>
                <w:szCs w:val="20"/>
              </w:rPr>
              <w:t>7</w:t>
            </w:r>
            <w:r w:rsidRPr="0022453E">
              <w:rPr>
                <w:rFonts w:cs="Arial"/>
                <w:sz w:val="18"/>
                <w:szCs w:val="20"/>
              </w:rPr>
              <w:t> million tonnes</w:t>
            </w:r>
            <w:r w:rsidR="00841128" w:rsidRPr="0022453E">
              <w:rPr>
                <w:rFonts w:cs="Arial"/>
                <w:sz w:val="18"/>
                <w:szCs w:val="20"/>
              </w:rPr>
              <w:t xml:space="preserve">, a </w:t>
            </w:r>
            <w:r w:rsidR="00CA6B21" w:rsidRPr="0022453E">
              <w:rPr>
                <w:rFonts w:cs="Arial"/>
                <w:sz w:val="18"/>
                <w:szCs w:val="20"/>
              </w:rPr>
              <w:t>13.0</w:t>
            </w:r>
            <w:r w:rsidR="00167BB7">
              <w:rPr>
                <w:rFonts w:cs="Arial"/>
                <w:sz w:val="18"/>
                <w:szCs w:val="20"/>
              </w:rPr>
              <w:t> per cent (</w:t>
            </w:r>
            <w:r w:rsidR="00CA6B21" w:rsidRPr="0022453E">
              <w:rPr>
                <w:rFonts w:cs="Arial"/>
                <w:sz w:val="18"/>
                <w:szCs w:val="20"/>
              </w:rPr>
              <w:t>40.9</w:t>
            </w:r>
            <w:r w:rsidR="00841128" w:rsidRPr="0022453E">
              <w:rPr>
                <w:rFonts w:cs="Arial"/>
                <w:sz w:val="18"/>
                <w:szCs w:val="20"/>
              </w:rPr>
              <w:t> million tonne) increase from 201</w:t>
            </w:r>
            <w:r w:rsidR="00CA6B21" w:rsidRPr="0022453E">
              <w:rPr>
                <w:rFonts w:cs="Arial"/>
                <w:sz w:val="18"/>
                <w:szCs w:val="20"/>
              </w:rPr>
              <w:t>8</w:t>
            </w:r>
            <w:r w:rsidR="00841128" w:rsidRPr="0022453E">
              <w:rPr>
                <w:rFonts w:cs="Arial"/>
                <w:sz w:val="18"/>
                <w:szCs w:val="20"/>
              </w:rPr>
              <w:t>.</w:t>
            </w:r>
          </w:p>
          <w:p w14:paraId="00CB41D7" w14:textId="10DB5620" w:rsidR="00841128" w:rsidRPr="0022453E" w:rsidRDefault="00841128" w:rsidP="00EE3637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20"/>
              </w:rPr>
            </w:pPr>
            <w:r w:rsidRPr="0022453E">
              <w:rPr>
                <w:rFonts w:cs="Arial"/>
                <w:sz w:val="18"/>
                <w:szCs w:val="20"/>
              </w:rPr>
              <w:t xml:space="preserve">Since 2000, global LNG trade has </w:t>
            </w:r>
            <w:r w:rsidR="00ED1720" w:rsidRPr="0022453E">
              <w:rPr>
                <w:rFonts w:cs="Arial"/>
                <w:sz w:val="18"/>
                <w:szCs w:val="20"/>
              </w:rPr>
              <w:t>grown at an average annual rate of 6.</w:t>
            </w:r>
            <w:r w:rsidR="00CA6B21" w:rsidRPr="0022453E">
              <w:rPr>
                <w:rFonts w:cs="Arial"/>
                <w:sz w:val="18"/>
                <w:szCs w:val="20"/>
              </w:rPr>
              <w:t>8</w:t>
            </w:r>
            <w:r w:rsidR="00ED1720" w:rsidRPr="0022453E">
              <w:rPr>
                <w:rFonts w:cs="Arial"/>
                <w:sz w:val="18"/>
                <w:szCs w:val="20"/>
              </w:rPr>
              <w:t> per cent.</w:t>
            </w:r>
          </w:p>
          <w:p w14:paraId="0BB2EFDC" w14:textId="62518BD1" w:rsidR="00ED1720" w:rsidRPr="0022453E" w:rsidRDefault="00ED1720" w:rsidP="00EE3637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20"/>
              </w:rPr>
            </w:pPr>
            <w:r w:rsidRPr="0022453E">
              <w:rPr>
                <w:rFonts w:cs="Arial"/>
                <w:sz w:val="18"/>
                <w:szCs w:val="20"/>
              </w:rPr>
              <w:t xml:space="preserve">Most LNG trade is made through </w:t>
            </w:r>
            <w:r w:rsidR="00934FC6" w:rsidRPr="0022453E">
              <w:rPr>
                <w:rFonts w:cs="Arial"/>
                <w:sz w:val="18"/>
                <w:szCs w:val="20"/>
              </w:rPr>
              <w:t>long and medium</w:t>
            </w:r>
            <w:r w:rsidR="00934FC6" w:rsidRPr="0022453E">
              <w:rPr>
                <w:rFonts w:cs="Arial"/>
                <w:sz w:val="18"/>
                <w:szCs w:val="20"/>
              </w:rPr>
              <w:noBreakHyphen/>
            </w:r>
            <w:r w:rsidRPr="0022453E">
              <w:rPr>
                <w:rFonts w:cs="Arial"/>
                <w:sz w:val="18"/>
                <w:szCs w:val="20"/>
              </w:rPr>
              <w:t xml:space="preserve">term contracts </w:t>
            </w:r>
            <w:r w:rsidR="00934FC6" w:rsidRPr="0022453E">
              <w:rPr>
                <w:rFonts w:cs="Arial"/>
                <w:sz w:val="18"/>
                <w:szCs w:val="20"/>
              </w:rPr>
              <w:t>(contracts with a duration of longer than four years). In 201</w:t>
            </w:r>
            <w:r w:rsidR="00CA6B21" w:rsidRPr="0022453E">
              <w:rPr>
                <w:rFonts w:cs="Arial"/>
                <w:sz w:val="18"/>
                <w:szCs w:val="20"/>
              </w:rPr>
              <w:t>9</w:t>
            </w:r>
            <w:r w:rsidR="00934FC6" w:rsidRPr="0022453E">
              <w:rPr>
                <w:rFonts w:cs="Arial"/>
                <w:sz w:val="18"/>
                <w:szCs w:val="20"/>
              </w:rPr>
              <w:t>, long and medium</w:t>
            </w:r>
            <w:r w:rsidR="00934FC6" w:rsidRPr="0022453E">
              <w:rPr>
                <w:rFonts w:cs="Arial"/>
                <w:sz w:val="18"/>
                <w:szCs w:val="20"/>
              </w:rPr>
              <w:noBreakHyphen/>
              <w:t>term contracts accounted for 6</w:t>
            </w:r>
            <w:r w:rsidR="00CA6B21" w:rsidRPr="0022453E">
              <w:rPr>
                <w:rFonts w:cs="Arial"/>
                <w:sz w:val="18"/>
                <w:szCs w:val="20"/>
              </w:rPr>
              <w:t>6</w:t>
            </w:r>
            <w:r w:rsidR="00934FC6" w:rsidRPr="0022453E">
              <w:rPr>
                <w:rFonts w:cs="Arial"/>
                <w:sz w:val="18"/>
                <w:szCs w:val="20"/>
              </w:rPr>
              <w:t> per cent (2</w:t>
            </w:r>
            <w:r w:rsidR="00CA6B21" w:rsidRPr="0022453E">
              <w:rPr>
                <w:rFonts w:cs="Arial"/>
                <w:sz w:val="18"/>
                <w:szCs w:val="20"/>
              </w:rPr>
              <w:t>35.8</w:t>
            </w:r>
            <w:r w:rsidR="00934FC6" w:rsidRPr="0022453E">
              <w:rPr>
                <w:rFonts w:cs="Arial"/>
                <w:sz w:val="18"/>
                <w:szCs w:val="20"/>
              </w:rPr>
              <w:t> million tonnes) of global LNG trade.</w:t>
            </w:r>
          </w:p>
          <w:p w14:paraId="1BD5FBC7" w14:textId="3844420C" w:rsidR="00934FC6" w:rsidRPr="007F6E9C" w:rsidRDefault="007B4783" w:rsidP="00CA6B21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20"/>
              </w:rPr>
              <w:t xml:space="preserve">The share of </w:t>
            </w:r>
            <w:r w:rsidR="000A4DA6" w:rsidRPr="0022453E">
              <w:rPr>
                <w:rFonts w:cs="Arial"/>
                <w:sz w:val="18"/>
                <w:szCs w:val="20"/>
              </w:rPr>
              <w:t>LNG trade made through spo</w:t>
            </w:r>
            <w:r w:rsidR="00934FC6" w:rsidRPr="0022453E">
              <w:rPr>
                <w:rFonts w:cs="Arial"/>
                <w:sz w:val="18"/>
                <w:szCs w:val="20"/>
              </w:rPr>
              <w:t>t and short</w:t>
            </w:r>
            <w:r w:rsidR="00934FC6" w:rsidRPr="0022453E">
              <w:rPr>
                <w:rFonts w:cs="Arial"/>
                <w:sz w:val="18"/>
                <w:szCs w:val="20"/>
              </w:rPr>
              <w:noBreakHyphen/>
              <w:t xml:space="preserve">term contracts </w:t>
            </w:r>
            <w:r w:rsidRPr="0022453E">
              <w:rPr>
                <w:rFonts w:cs="Arial"/>
                <w:sz w:val="18"/>
                <w:szCs w:val="20"/>
              </w:rPr>
              <w:t>is growing, accounting for 3</w:t>
            </w:r>
            <w:r w:rsidR="00CA6B21" w:rsidRPr="0022453E">
              <w:rPr>
                <w:rFonts w:cs="Arial"/>
                <w:sz w:val="18"/>
                <w:szCs w:val="20"/>
              </w:rPr>
              <w:t>4</w:t>
            </w:r>
            <w:r w:rsidRPr="0022453E">
              <w:rPr>
                <w:rFonts w:cs="Arial"/>
                <w:sz w:val="18"/>
                <w:szCs w:val="20"/>
              </w:rPr>
              <w:t> per cent (</w:t>
            </w:r>
            <w:r w:rsidR="00CA6B21" w:rsidRPr="0022453E">
              <w:rPr>
                <w:rFonts w:cs="Arial"/>
                <w:sz w:val="18"/>
                <w:szCs w:val="20"/>
              </w:rPr>
              <w:t>119.0</w:t>
            </w:r>
            <w:r w:rsidRPr="0022453E">
              <w:rPr>
                <w:rFonts w:cs="Arial"/>
                <w:sz w:val="18"/>
                <w:szCs w:val="20"/>
              </w:rPr>
              <w:t> million tonnes) of total LNG trade in 201</w:t>
            </w:r>
            <w:r w:rsidR="00CA6B21" w:rsidRPr="0022453E">
              <w:rPr>
                <w:rFonts w:cs="Arial"/>
                <w:sz w:val="18"/>
                <w:szCs w:val="20"/>
              </w:rPr>
              <w:t>9</w:t>
            </w:r>
            <w:r w:rsidRPr="0022453E">
              <w:rPr>
                <w:rFonts w:cs="Arial"/>
                <w:sz w:val="18"/>
                <w:szCs w:val="20"/>
              </w:rPr>
              <w:t>, the highest share on record.</w:t>
            </w:r>
          </w:p>
        </w:tc>
      </w:tr>
      <w:tr w:rsidR="00C539AA" w:rsidRPr="007A2E7B" w14:paraId="6CAC9571" w14:textId="77777777" w:rsidTr="00CA6B21">
        <w:trPr>
          <w:trHeight w:val="4092"/>
        </w:trPr>
        <w:tc>
          <w:tcPr>
            <w:tcW w:w="6663" w:type="dxa"/>
            <w:vAlign w:val="center"/>
          </w:tcPr>
          <w:p w14:paraId="671B53AA" w14:textId="1FAC115F" w:rsidR="00C539AA" w:rsidRPr="007A2E7B" w:rsidRDefault="00CA6B21" w:rsidP="00D820B0">
            <w:pPr>
              <w:tabs>
                <w:tab w:val="left" w:pos="3912"/>
              </w:tabs>
              <w:rPr>
                <w:rFonts w:ascii="Calibri Light" w:hAnsi="Calibri Light" w:cs="Segoe UI"/>
                <w:i/>
                <w:sz w:val="12"/>
                <w:szCs w:val="16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27231D10" wp14:editId="02EB16C3">
                  <wp:extent cx="4093845" cy="2439035"/>
                  <wp:effectExtent l="0" t="0" r="1905" b="0"/>
                  <wp:docPr id="1" name="Chart 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"/>
                    </a:graphicData>
                  </a:graphic>
                </wp:inline>
              </w:drawing>
            </w:r>
          </w:p>
          <w:p w14:paraId="1E657F18" w14:textId="77777777" w:rsidR="00C539AA" w:rsidRPr="00106D53" w:rsidRDefault="00C539AA" w:rsidP="00D820B0">
            <w:pPr>
              <w:tabs>
                <w:tab w:val="left" w:pos="3912"/>
              </w:tabs>
              <w:rPr>
                <w:rFonts w:cs="Arial"/>
                <w:sz w:val="10"/>
                <w:szCs w:val="10"/>
              </w:rPr>
            </w:pPr>
            <w:r w:rsidRPr="00106D53">
              <w:rPr>
                <w:rFonts w:cs="Arial"/>
                <w:sz w:val="10"/>
                <w:szCs w:val="10"/>
              </w:rPr>
              <w:t>Source: International Group of LNG importers (GIIGNL)</w:t>
            </w:r>
          </w:p>
        </w:tc>
        <w:tc>
          <w:tcPr>
            <w:tcW w:w="4050" w:type="dxa"/>
            <w:gridSpan w:val="3"/>
            <w:vMerge/>
          </w:tcPr>
          <w:p w14:paraId="36C9897F" w14:textId="77777777" w:rsidR="00C539AA" w:rsidRPr="007A2E7B" w:rsidRDefault="00C539AA" w:rsidP="00D820B0">
            <w:pPr>
              <w:pStyle w:val="ListParagraph"/>
              <w:numPr>
                <w:ilvl w:val="1"/>
                <w:numId w:val="12"/>
              </w:numPr>
              <w:ind w:left="459" w:hanging="218"/>
              <w:contextualSpacing w:val="0"/>
              <w:rPr>
                <w:rFonts w:ascii="Calibri Light" w:hAnsi="Calibri Light" w:cs="Segoe UI"/>
                <w:sz w:val="16"/>
                <w:szCs w:val="16"/>
              </w:rPr>
            </w:pPr>
          </w:p>
        </w:tc>
      </w:tr>
      <w:tr w:rsidR="00DF5DC1" w:rsidRPr="007A2E7B" w14:paraId="10B0C74B" w14:textId="77777777" w:rsidTr="001C2560">
        <w:trPr>
          <w:gridAfter w:val="1"/>
          <w:wAfter w:w="24" w:type="dxa"/>
          <w:trHeight w:val="260"/>
        </w:trPr>
        <w:tc>
          <w:tcPr>
            <w:tcW w:w="6663" w:type="dxa"/>
            <w:shd w:val="clear" w:color="auto" w:fill="C0504D" w:themeFill="accent2"/>
            <w:vAlign w:val="center"/>
          </w:tcPr>
          <w:p w14:paraId="5BF0AB2D" w14:textId="03081148" w:rsidR="00DF5DC1" w:rsidRPr="00106D53" w:rsidRDefault="00DF5DC1" w:rsidP="00CA6B21">
            <w:pPr>
              <w:jc w:val="center"/>
              <w:rPr>
                <w:rFonts w:cs="Arial"/>
                <w:color w:val="FFFFFF" w:themeColor="background1"/>
                <w:sz w:val="20"/>
                <w:szCs w:val="20"/>
              </w:rPr>
            </w:pPr>
            <w:r w:rsidRPr="00106D53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LNG export</w:t>
            </w:r>
            <w:r w:rsidR="00740E93" w:rsidRPr="00106D53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s</w:t>
            </w:r>
            <w:r w:rsidRPr="00106D53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: 201</w:t>
            </w:r>
            <w:r w:rsidR="00CA6B21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9</w:t>
            </w:r>
          </w:p>
        </w:tc>
        <w:tc>
          <w:tcPr>
            <w:tcW w:w="4026" w:type="dxa"/>
            <w:gridSpan w:val="2"/>
            <w:vMerge w:val="restart"/>
          </w:tcPr>
          <w:p w14:paraId="702EB5B5" w14:textId="77777777" w:rsidR="00106D53" w:rsidRPr="0022453E" w:rsidRDefault="00106D53" w:rsidP="00EE3637">
            <w:pPr>
              <w:spacing w:before="30" w:after="30"/>
              <w:rPr>
                <w:rFonts w:cs="Arial"/>
                <w:sz w:val="18"/>
                <w:szCs w:val="18"/>
              </w:rPr>
            </w:pPr>
          </w:p>
          <w:p w14:paraId="75D9AD30" w14:textId="3A14F116" w:rsidR="00086862" w:rsidRPr="0022453E" w:rsidRDefault="000E7E95" w:rsidP="000E7E95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20"/>
              </w:rPr>
              <w:t>Australia was the second largest LNG exporter in 201</w:t>
            </w:r>
            <w:r w:rsidR="00CA6B21" w:rsidRPr="0022453E">
              <w:rPr>
                <w:rFonts w:cs="Arial"/>
                <w:sz w:val="18"/>
                <w:szCs w:val="20"/>
              </w:rPr>
              <w:t>9</w:t>
            </w:r>
            <w:r w:rsidRPr="0022453E">
              <w:rPr>
                <w:rFonts w:cs="Arial"/>
                <w:sz w:val="18"/>
                <w:szCs w:val="20"/>
              </w:rPr>
              <w:t xml:space="preserve">, accounting for 21 per cent of global </w:t>
            </w:r>
            <w:r w:rsidR="00086862" w:rsidRPr="0022453E">
              <w:rPr>
                <w:rFonts w:cs="Arial"/>
                <w:sz w:val="18"/>
                <w:szCs w:val="20"/>
              </w:rPr>
              <w:t xml:space="preserve">LNG </w:t>
            </w:r>
            <w:r w:rsidRPr="0022453E">
              <w:rPr>
                <w:rFonts w:cs="Arial"/>
                <w:sz w:val="18"/>
                <w:szCs w:val="20"/>
              </w:rPr>
              <w:t>exports.</w:t>
            </w:r>
          </w:p>
          <w:p w14:paraId="06F1BB96" w14:textId="687CDA9C" w:rsidR="00EE3637" w:rsidRPr="0022453E" w:rsidRDefault="00EE3637" w:rsidP="000E7E95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20"/>
              </w:rPr>
              <w:t xml:space="preserve">Western Australia </w:t>
            </w:r>
            <w:r w:rsidR="000E7E95" w:rsidRPr="0022453E">
              <w:rPr>
                <w:rFonts w:cs="Arial"/>
                <w:sz w:val="18"/>
                <w:szCs w:val="20"/>
              </w:rPr>
              <w:t>by itself</w:t>
            </w:r>
            <w:r w:rsidRPr="0022453E">
              <w:rPr>
                <w:rFonts w:cs="Arial"/>
                <w:sz w:val="18"/>
                <w:szCs w:val="20"/>
              </w:rPr>
              <w:t xml:space="preserve"> </w:t>
            </w:r>
            <w:r w:rsidR="000E7E95" w:rsidRPr="0022453E">
              <w:rPr>
                <w:rFonts w:cs="Arial"/>
                <w:sz w:val="18"/>
                <w:szCs w:val="20"/>
              </w:rPr>
              <w:t xml:space="preserve">accounted </w:t>
            </w:r>
            <w:r w:rsidR="00CA6B21" w:rsidRPr="0022453E">
              <w:rPr>
                <w:rFonts w:cs="Arial"/>
                <w:sz w:val="18"/>
                <w:szCs w:val="20"/>
              </w:rPr>
              <w:t>for 12</w:t>
            </w:r>
            <w:r w:rsidRPr="0022453E">
              <w:rPr>
                <w:rFonts w:cs="Arial"/>
                <w:sz w:val="18"/>
                <w:szCs w:val="20"/>
              </w:rPr>
              <w:t xml:space="preserve"> per cent of global </w:t>
            </w:r>
            <w:r w:rsidR="00086862" w:rsidRPr="0022453E">
              <w:rPr>
                <w:rFonts w:cs="Arial"/>
                <w:sz w:val="18"/>
                <w:szCs w:val="20"/>
              </w:rPr>
              <w:t xml:space="preserve">LNG </w:t>
            </w:r>
            <w:r w:rsidRPr="0022453E">
              <w:rPr>
                <w:rFonts w:cs="Arial"/>
                <w:sz w:val="18"/>
                <w:szCs w:val="20"/>
              </w:rPr>
              <w:t>exports</w:t>
            </w:r>
            <w:r w:rsidR="000E7E95" w:rsidRPr="0022453E">
              <w:rPr>
                <w:rFonts w:cs="Arial"/>
                <w:sz w:val="18"/>
                <w:szCs w:val="20"/>
              </w:rPr>
              <w:t xml:space="preserve"> and</w:t>
            </w:r>
            <w:r w:rsidR="007172AC" w:rsidRPr="0022453E">
              <w:rPr>
                <w:rFonts w:cs="Arial"/>
                <w:sz w:val="18"/>
                <w:szCs w:val="20"/>
              </w:rPr>
              <w:t xml:space="preserve"> </w:t>
            </w:r>
            <w:r w:rsidR="00CA6B21" w:rsidRPr="0022453E">
              <w:rPr>
                <w:rFonts w:cs="Arial"/>
                <w:sz w:val="18"/>
                <w:szCs w:val="20"/>
              </w:rPr>
              <w:t>59</w:t>
            </w:r>
            <w:r w:rsidR="007172AC" w:rsidRPr="0022453E">
              <w:rPr>
                <w:rFonts w:cs="Arial"/>
                <w:sz w:val="18"/>
                <w:szCs w:val="20"/>
              </w:rPr>
              <w:t xml:space="preserve"> per cent of Australia’s </w:t>
            </w:r>
            <w:r w:rsidR="00086862" w:rsidRPr="0022453E">
              <w:rPr>
                <w:rFonts w:cs="Arial"/>
                <w:sz w:val="18"/>
                <w:szCs w:val="20"/>
              </w:rPr>
              <w:t xml:space="preserve">LNG </w:t>
            </w:r>
            <w:r w:rsidR="007172AC" w:rsidRPr="0022453E">
              <w:rPr>
                <w:rFonts w:cs="Arial"/>
                <w:sz w:val="18"/>
                <w:szCs w:val="20"/>
              </w:rPr>
              <w:t>exports in 201</w:t>
            </w:r>
            <w:r w:rsidR="00CA6B21" w:rsidRPr="0022453E">
              <w:rPr>
                <w:rFonts w:cs="Arial"/>
                <w:sz w:val="18"/>
                <w:szCs w:val="20"/>
              </w:rPr>
              <w:t>9</w:t>
            </w:r>
            <w:r w:rsidR="007172AC" w:rsidRPr="0022453E">
              <w:rPr>
                <w:rFonts w:cs="Arial"/>
                <w:sz w:val="18"/>
                <w:szCs w:val="20"/>
              </w:rPr>
              <w:t>.</w:t>
            </w:r>
          </w:p>
          <w:p w14:paraId="6A318E3A" w14:textId="47B70CC0" w:rsidR="00EE3637" w:rsidRPr="0022453E" w:rsidRDefault="004F1203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18"/>
              </w:rPr>
              <w:t>Qatar was the largest LNG exporter in 201</w:t>
            </w:r>
            <w:r w:rsidR="00CA6B21" w:rsidRPr="0022453E">
              <w:rPr>
                <w:rFonts w:cs="Arial"/>
                <w:sz w:val="18"/>
                <w:szCs w:val="18"/>
              </w:rPr>
              <w:t>9, accounting for 22</w:t>
            </w:r>
            <w:r w:rsidRPr="0022453E">
              <w:rPr>
                <w:rFonts w:cs="Arial"/>
                <w:sz w:val="18"/>
                <w:szCs w:val="18"/>
              </w:rPr>
              <w:t xml:space="preserve"> per cent of global </w:t>
            </w:r>
            <w:r w:rsidR="00086862" w:rsidRPr="0022453E">
              <w:rPr>
                <w:rFonts w:cs="Arial"/>
                <w:sz w:val="18"/>
                <w:szCs w:val="18"/>
              </w:rPr>
              <w:t xml:space="preserve">LNG </w:t>
            </w:r>
            <w:r w:rsidRPr="0022453E">
              <w:rPr>
                <w:rFonts w:cs="Arial"/>
                <w:sz w:val="18"/>
                <w:szCs w:val="18"/>
              </w:rPr>
              <w:t>exports.</w:t>
            </w:r>
            <w:r w:rsidR="007B4783" w:rsidRPr="0022453E">
              <w:rPr>
                <w:rFonts w:cs="Arial"/>
                <w:sz w:val="18"/>
                <w:szCs w:val="18"/>
              </w:rPr>
              <w:t xml:space="preserve"> Qatar has been the world’s largest LNG exporter since 2006.</w:t>
            </w:r>
          </w:p>
          <w:p w14:paraId="61DDAFDE" w14:textId="6879249D" w:rsidR="004F1203" w:rsidRPr="0022453E" w:rsidRDefault="004F1203" w:rsidP="00086862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18"/>
              </w:rPr>
              <w:t xml:space="preserve">The USA accounted for </w:t>
            </w:r>
            <w:r w:rsidR="00086862" w:rsidRPr="0022453E">
              <w:rPr>
                <w:rFonts w:cs="Arial"/>
                <w:sz w:val="18"/>
                <w:szCs w:val="18"/>
              </w:rPr>
              <w:t>10</w:t>
            </w:r>
            <w:r w:rsidRPr="0022453E">
              <w:rPr>
                <w:rFonts w:cs="Arial"/>
                <w:sz w:val="18"/>
                <w:szCs w:val="18"/>
              </w:rPr>
              <w:t> per cent of global LNG exports in 201</w:t>
            </w:r>
            <w:r w:rsidR="00086862" w:rsidRPr="0022453E">
              <w:rPr>
                <w:rFonts w:cs="Arial"/>
                <w:sz w:val="18"/>
                <w:szCs w:val="18"/>
              </w:rPr>
              <w:t>9</w:t>
            </w:r>
            <w:r w:rsidRPr="0022453E">
              <w:rPr>
                <w:rFonts w:cs="Arial"/>
                <w:sz w:val="18"/>
                <w:szCs w:val="18"/>
              </w:rPr>
              <w:t>. The USA’s share of global LNG exports will increase over the next few years as new projects become operational.</w:t>
            </w:r>
          </w:p>
        </w:tc>
      </w:tr>
      <w:tr w:rsidR="00DF5DC1" w:rsidRPr="007A2E7B" w14:paraId="3F7C1F80" w14:textId="77777777" w:rsidTr="00CA6B21">
        <w:trPr>
          <w:gridAfter w:val="1"/>
          <w:wAfter w:w="24" w:type="dxa"/>
          <w:trHeight w:val="4046"/>
        </w:trPr>
        <w:tc>
          <w:tcPr>
            <w:tcW w:w="6663" w:type="dxa"/>
            <w:vAlign w:val="center"/>
          </w:tcPr>
          <w:p w14:paraId="68DA5472" w14:textId="559592ED" w:rsidR="00DF5DC1" w:rsidRPr="007A2E7B" w:rsidRDefault="00CA6B21" w:rsidP="00DF5DC1">
            <w:pPr>
              <w:pStyle w:val="ListParagraph"/>
              <w:ind w:left="0"/>
              <w:contextualSpacing w:val="0"/>
              <w:rPr>
                <w:rFonts w:ascii="Calibri Light" w:hAnsi="Calibri Light" w:cs="Segoe UI"/>
                <w:sz w:val="4"/>
                <w:szCs w:val="16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6327F89" wp14:editId="294EC1B9">
                  <wp:extent cx="4093845" cy="2439035"/>
                  <wp:effectExtent l="0" t="0" r="1905" b="0"/>
                  <wp:docPr id="6" name="Chart 6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"/>
                    </a:graphicData>
                  </a:graphic>
                </wp:inline>
              </w:drawing>
            </w:r>
          </w:p>
          <w:p w14:paraId="1A10860D" w14:textId="0FA54900" w:rsidR="00DF5DC1" w:rsidRPr="00106D53" w:rsidRDefault="00DF5DC1" w:rsidP="00106D53">
            <w:pPr>
              <w:pStyle w:val="ListParagraph"/>
              <w:ind w:left="0"/>
              <w:contextualSpacing w:val="0"/>
              <w:jc w:val="left"/>
              <w:rPr>
                <w:rFonts w:cs="Arial"/>
                <w:sz w:val="10"/>
                <w:szCs w:val="10"/>
              </w:rPr>
            </w:pPr>
            <w:r w:rsidRPr="00106D53">
              <w:rPr>
                <w:rFonts w:cs="Arial"/>
                <w:sz w:val="10"/>
                <w:szCs w:val="10"/>
              </w:rPr>
              <w:t>Source: International Group of LNG Importers (GIIGNL); WA Department of Jobs, Tourism, Science and Innovation (JTSI) estimates.</w:t>
            </w:r>
          </w:p>
        </w:tc>
        <w:tc>
          <w:tcPr>
            <w:tcW w:w="4026" w:type="dxa"/>
            <w:gridSpan w:val="2"/>
            <w:vMerge/>
          </w:tcPr>
          <w:p w14:paraId="06F35121" w14:textId="77777777" w:rsidR="00DF5DC1" w:rsidRPr="007A2E7B" w:rsidRDefault="00DF5DC1" w:rsidP="00DF5DC1">
            <w:pPr>
              <w:rPr>
                <w:rFonts w:ascii="Calibri Light" w:hAnsi="Calibri Light" w:cs="Segoe UI"/>
                <w:color w:val="C00000"/>
                <w:sz w:val="16"/>
                <w:szCs w:val="16"/>
              </w:rPr>
            </w:pPr>
          </w:p>
        </w:tc>
      </w:tr>
      <w:tr w:rsidR="00DF5DC1" w:rsidRPr="00963086" w14:paraId="3E3876F1" w14:textId="77777777" w:rsidTr="001C2560">
        <w:trPr>
          <w:gridAfter w:val="2"/>
          <w:wAfter w:w="81" w:type="dxa"/>
          <w:trHeight w:val="283"/>
        </w:trPr>
        <w:tc>
          <w:tcPr>
            <w:tcW w:w="6663" w:type="dxa"/>
            <w:shd w:val="clear" w:color="auto" w:fill="C0504D" w:themeFill="accent2"/>
            <w:vAlign w:val="center"/>
          </w:tcPr>
          <w:p w14:paraId="1412A651" w14:textId="7233B0D7" w:rsidR="00DF5DC1" w:rsidRPr="00106D53" w:rsidRDefault="00DF5DC1" w:rsidP="00106D53">
            <w:pPr>
              <w:jc w:val="center"/>
              <w:rPr>
                <w:rFonts w:cs="Arial"/>
                <w:sz w:val="20"/>
                <w:szCs w:val="20"/>
              </w:rPr>
            </w:pPr>
            <w:r w:rsidRPr="00813654">
              <w:rPr>
                <w:rFonts w:ascii="Calibri Light" w:hAnsi="Calibri Light"/>
                <w:sz w:val="10"/>
                <w:szCs w:val="20"/>
              </w:rPr>
              <w:br w:type="page"/>
            </w:r>
            <w:r w:rsidRPr="00106D53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LNG imports: 201</w:t>
            </w:r>
            <w:r w:rsidR="00086862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9</w:t>
            </w:r>
          </w:p>
        </w:tc>
        <w:tc>
          <w:tcPr>
            <w:tcW w:w="3969" w:type="dxa"/>
            <w:vMerge w:val="restart"/>
          </w:tcPr>
          <w:p w14:paraId="3B8FA19B" w14:textId="2DC0FFA1" w:rsidR="00DF5DC1" w:rsidRPr="00496EFD" w:rsidRDefault="00DF5DC1" w:rsidP="004F1203">
            <w:pPr>
              <w:rPr>
                <w:rFonts w:cs="Arial"/>
                <w:sz w:val="18"/>
                <w:szCs w:val="18"/>
              </w:rPr>
            </w:pPr>
          </w:p>
          <w:p w14:paraId="068B8837" w14:textId="555970AB" w:rsidR="00E17C86" w:rsidRPr="0022453E" w:rsidRDefault="00E17C86" w:rsidP="004F1203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18"/>
              </w:rPr>
              <w:t xml:space="preserve">Asia accounted for </w:t>
            </w:r>
            <w:r w:rsidR="00086862" w:rsidRPr="0022453E">
              <w:rPr>
                <w:rFonts w:cs="Arial"/>
                <w:sz w:val="18"/>
                <w:szCs w:val="18"/>
              </w:rPr>
              <w:t>69</w:t>
            </w:r>
            <w:r w:rsidRPr="0022453E">
              <w:rPr>
                <w:rFonts w:cs="Arial"/>
                <w:sz w:val="18"/>
                <w:szCs w:val="18"/>
              </w:rPr>
              <w:t xml:space="preserve"> per cent </w:t>
            </w:r>
            <w:r w:rsidR="000A79B3" w:rsidRPr="0022453E">
              <w:rPr>
                <w:rFonts w:cs="Arial"/>
                <w:sz w:val="18"/>
                <w:szCs w:val="18"/>
              </w:rPr>
              <w:t>(2</w:t>
            </w:r>
            <w:r w:rsidR="00086862" w:rsidRPr="0022453E">
              <w:rPr>
                <w:rFonts w:cs="Arial"/>
                <w:sz w:val="18"/>
                <w:szCs w:val="18"/>
              </w:rPr>
              <w:t>46.2</w:t>
            </w:r>
            <w:r w:rsidR="000A79B3" w:rsidRPr="0022453E">
              <w:rPr>
                <w:rFonts w:cs="Arial"/>
                <w:sz w:val="18"/>
                <w:szCs w:val="18"/>
              </w:rPr>
              <w:t xml:space="preserve"> million tonnes) </w:t>
            </w:r>
            <w:r w:rsidRPr="0022453E">
              <w:rPr>
                <w:rFonts w:cs="Arial"/>
                <w:sz w:val="18"/>
                <w:szCs w:val="18"/>
              </w:rPr>
              <w:t>of global LNG imports in 201</w:t>
            </w:r>
            <w:r w:rsidR="00086862" w:rsidRPr="0022453E">
              <w:rPr>
                <w:rFonts w:cs="Arial"/>
                <w:sz w:val="18"/>
                <w:szCs w:val="18"/>
              </w:rPr>
              <w:t>9</w:t>
            </w:r>
            <w:r w:rsidRPr="0022453E">
              <w:rPr>
                <w:rFonts w:cs="Arial"/>
                <w:sz w:val="18"/>
                <w:szCs w:val="18"/>
              </w:rPr>
              <w:t>. The fi</w:t>
            </w:r>
            <w:r w:rsidR="00086862" w:rsidRPr="0022453E">
              <w:rPr>
                <w:rFonts w:cs="Arial"/>
                <w:sz w:val="18"/>
                <w:szCs w:val="18"/>
              </w:rPr>
              <w:t>ve largest LNG importers in 2019</w:t>
            </w:r>
            <w:r w:rsidRPr="0022453E">
              <w:rPr>
                <w:rFonts w:cs="Arial"/>
                <w:sz w:val="18"/>
                <w:szCs w:val="18"/>
              </w:rPr>
              <w:t xml:space="preserve"> – Japan, China, South Korea, India and Taiwan – are all in Asia.</w:t>
            </w:r>
          </w:p>
          <w:p w14:paraId="559D57D3" w14:textId="713D042C" w:rsidR="00496EFD" w:rsidRPr="0022453E" w:rsidRDefault="00496EFD" w:rsidP="004F1203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18"/>
              </w:rPr>
              <w:t>Europe (</w:t>
            </w:r>
            <w:r w:rsidR="00086862" w:rsidRPr="0022453E">
              <w:rPr>
                <w:rFonts w:cs="Arial"/>
                <w:sz w:val="18"/>
                <w:szCs w:val="18"/>
              </w:rPr>
              <w:t>24</w:t>
            </w:r>
            <w:r w:rsidRPr="0022453E">
              <w:rPr>
                <w:rFonts w:cs="Arial"/>
                <w:sz w:val="18"/>
                <w:szCs w:val="18"/>
              </w:rPr>
              <w:t> per cent), the Americas (</w:t>
            </w:r>
            <w:r w:rsidR="00086862" w:rsidRPr="0022453E">
              <w:rPr>
                <w:rFonts w:cs="Arial"/>
                <w:sz w:val="18"/>
                <w:szCs w:val="18"/>
              </w:rPr>
              <w:t>4</w:t>
            </w:r>
            <w:r w:rsidRPr="0022453E">
              <w:rPr>
                <w:rFonts w:cs="Arial"/>
                <w:sz w:val="18"/>
                <w:szCs w:val="18"/>
              </w:rPr>
              <w:t> per cent) a</w:t>
            </w:r>
            <w:r w:rsidR="00086862" w:rsidRPr="0022453E">
              <w:rPr>
                <w:rFonts w:cs="Arial"/>
                <w:sz w:val="18"/>
                <w:szCs w:val="18"/>
              </w:rPr>
              <w:t>nd the Middle East and Africa (2</w:t>
            </w:r>
            <w:r w:rsidRPr="0022453E">
              <w:rPr>
                <w:rFonts w:cs="Arial"/>
                <w:sz w:val="18"/>
                <w:szCs w:val="18"/>
              </w:rPr>
              <w:t> per cent) made up the balance of global LNG imports</w:t>
            </w:r>
            <w:r w:rsidR="00086862" w:rsidRPr="0022453E">
              <w:rPr>
                <w:rFonts w:cs="Arial"/>
                <w:sz w:val="18"/>
                <w:szCs w:val="18"/>
              </w:rPr>
              <w:t xml:space="preserve"> in 2019</w:t>
            </w:r>
            <w:r w:rsidRPr="0022453E">
              <w:rPr>
                <w:rFonts w:cs="Arial"/>
                <w:sz w:val="18"/>
                <w:szCs w:val="18"/>
              </w:rPr>
              <w:t>.</w:t>
            </w:r>
          </w:p>
          <w:p w14:paraId="0406BB50" w14:textId="6B2FBC42" w:rsidR="00E17C86" w:rsidRPr="0022453E" w:rsidRDefault="00E17C86" w:rsidP="00D820B0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18"/>
              </w:rPr>
              <w:t>Japan was the largest LNG importer in 201</w:t>
            </w:r>
            <w:r w:rsidR="00086862" w:rsidRPr="0022453E">
              <w:rPr>
                <w:rFonts w:cs="Arial"/>
                <w:sz w:val="18"/>
                <w:szCs w:val="18"/>
              </w:rPr>
              <w:t>9</w:t>
            </w:r>
            <w:r w:rsidRPr="0022453E">
              <w:rPr>
                <w:rFonts w:cs="Arial"/>
                <w:sz w:val="18"/>
                <w:szCs w:val="18"/>
              </w:rPr>
              <w:t xml:space="preserve"> at </w:t>
            </w:r>
            <w:r w:rsidR="00086862" w:rsidRPr="0022453E">
              <w:rPr>
                <w:rFonts w:cs="Arial"/>
                <w:sz w:val="18"/>
                <w:szCs w:val="18"/>
              </w:rPr>
              <w:t>76.9</w:t>
            </w:r>
            <w:r w:rsidRPr="0022453E">
              <w:rPr>
                <w:rFonts w:cs="Arial"/>
                <w:sz w:val="18"/>
                <w:szCs w:val="18"/>
              </w:rPr>
              <w:t> million tonnes. Japan’s LNG imports peaked in 2014 at 89.2 million tones.</w:t>
            </w:r>
          </w:p>
          <w:p w14:paraId="10378D68" w14:textId="7A5CFB4E" w:rsidR="00496EFD" w:rsidRPr="00496EFD" w:rsidRDefault="00496EFD" w:rsidP="00AA66B3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A52886">
              <w:rPr>
                <w:rFonts w:cs="Arial"/>
                <w:sz w:val="18"/>
                <w:szCs w:val="18"/>
              </w:rPr>
              <w:t>China was the second largest LNG importer in 201</w:t>
            </w:r>
            <w:r w:rsidR="00086862" w:rsidRPr="00A52886">
              <w:rPr>
                <w:rFonts w:cs="Arial"/>
                <w:sz w:val="18"/>
                <w:szCs w:val="18"/>
              </w:rPr>
              <w:t>9</w:t>
            </w:r>
            <w:r w:rsidRPr="00A52886">
              <w:rPr>
                <w:rFonts w:cs="Arial"/>
                <w:sz w:val="18"/>
                <w:szCs w:val="18"/>
              </w:rPr>
              <w:t xml:space="preserve"> at </w:t>
            </w:r>
            <w:r w:rsidR="00086862" w:rsidRPr="00A52886">
              <w:rPr>
                <w:rFonts w:cs="Arial"/>
                <w:sz w:val="18"/>
                <w:szCs w:val="18"/>
              </w:rPr>
              <w:t>61.7</w:t>
            </w:r>
            <w:r w:rsidRPr="00A52886">
              <w:rPr>
                <w:rFonts w:cs="Arial"/>
                <w:sz w:val="18"/>
                <w:szCs w:val="18"/>
              </w:rPr>
              <w:t xml:space="preserve"> million tonnes. China’s LNG imports grew by </w:t>
            </w:r>
            <w:r w:rsidR="00086862" w:rsidRPr="00A52886">
              <w:rPr>
                <w:rFonts w:cs="Arial"/>
                <w:sz w:val="18"/>
                <w:szCs w:val="18"/>
              </w:rPr>
              <w:t>14</w:t>
            </w:r>
            <w:r w:rsidRPr="00A52886">
              <w:rPr>
                <w:rFonts w:cs="Arial"/>
                <w:sz w:val="18"/>
                <w:szCs w:val="18"/>
              </w:rPr>
              <w:t> per cent in 201</w:t>
            </w:r>
            <w:r w:rsidR="00086862" w:rsidRPr="00A52886">
              <w:rPr>
                <w:rFonts w:cs="Arial"/>
                <w:sz w:val="18"/>
                <w:szCs w:val="18"/>
              </w:rPr>
              <w:t>9</w:t>
            </w:r>
            <w:r w:rsidRPr="00A52886">
              <w:rPr>
                <w:rFonts w:cs="Arial"/>
                <w:sz w:val="18"/>
                <w:szCs w:val="18"/>
              </w:rPr>
              <w:t>.</w:t>
            </w:r>
          </w:p>
        </w:tc>
      </w:tr>
      <w:tr w:rsidR="00DF5DC1" w:rsidRPr="00963086" w14:paraId="59402BDC" w14:textId="77777777" w:rsidTr="00086862">
        <w:trPr>
          <w:gridAfter w:val="2"/>
          <w:wAfter w:w="81" w:type="dxa"/>
          <w:trHeight w:val="3667"/>
        </w:trPr>
        <w:tc>
          <w:tcPr>
            <w:tcW w:w="6663" w:type="dxa"/>
            <w:vAlign w:val="center"/>
          </w:tcPr>
          <w:p w14:paraId="1737E32E" w14:textId="7E4A62CB" w:rsidR="00DF5DC1" w:rsidRPr="00A1700B" w:rsidRDefault="00086862" w:rsidP="00DF5DC1">
            <w:pPr>
              <w:jc w:val="left"/>
              <w:rPr>
                <w:rFonts w:ascii="Calibri Light" w:hAnsi="Calibri Light" w:cs="Segoe UI"/>
                <w:color w:val="C00000"/>
                <w:sz w:val="4"/>
                <w:szCs w:val="16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06BD0C8C" wp14:editId="12AAC21C">
                  <wp:extent cx="4093845" cy="2439035"/>
                  <wp:effectExtent l="0" t="0" r="1905" b="0"/>
                  <wp:docPr id="9" name="Chart 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4"/>
                    </a:graphicData>
                  </a:graphic>
                </wp:inline>
              </w:drawing>
            </w:r>
          </w:p>
          <w:p w14:paraId="56131734" w14:textId="77777777" w:rsidR="00DF5DC1" w:rsidRPr="00F351C6" w:rsidRDefault="00DF5DC1" w:rsidP="00DF5DC1">
            <w:pPr>
              <w:jc w:val="left"/>
              <w:rPr>
                <w:rFonts w:cs="Arial"/>
                <w:color w:val="C00000"/>
                <w:sz w:val="10"/>
                <w:szCs w:val="10"/>
              </w:rPr>
            </w:pPr>
            <w:r w:rsidRPr="00F351C6">
              <w:rPr>
                <w:rFonts w:cs="Arial"/>
                <w:sz w:val="10"/>
                <w:szCs w:val="10"/>
              </w:rPr>
              <w:t>Source:  International Group of LNG Importers (GIIGNL).</w:t>
            </w:r>
          </w:p>
        </w:tc>
        <w:tc>
          <w:tcPr>
            <w:tcW w:w="3969" w:type="dxa"/>
            <w:vMerge/>
          </w:tcPr>
          <w:p w14:paraId="356E0846" w14:textId="77777777" w:rsidR="00DF5DC1" w:rsidRPr="00813654" w:rsidRDefault="00DF5DC1" w:rsidP="00DF5DC1">
            <w:pPr>
              <w:rPr>
                <w:rFonts w:ascii="Calibri Light" w:hAnsi="Calibri Light" w:cs="Segoe UI"/>
                <w:color w:val="C00000"/>
                <w:sz w:val="16"/>
                <w:szCs w:val="16"/>
              </w:rPr>
            </w:pPr>
          </w:p>
        </w:tc>
      </w:tr>
    </w:tbl>
    <w:p w14:paraId="0AD22DEB" w14:textId="57A33F06" w:rsidR="0024253F" w:rsidRDefault="0024253F" w:rsidP="00DF5DC1">
      <w:pPr>
        <w:jc w:val="left"/>
        <w:rPr>
          <w:rFonts w:ascii="Calibri Light" w:hAnsi="Calibri Light" w:cs="Segoe UI"/>
          <w:sz w:val="8"/>
          <w:szCs w:val="16"/>
        </w:rPr>
      </w:pPr>
    </w:p>
    <w:tbl>
      <w:tblPr>
        <w:tblW w:w="10632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632"/>
      </w:tblGrid>
      <w:tr w:rsidR="00C03B6D" w:rsidRPr="00E84F58" w14:paraId="2F014A26" w14:textId="77777777" w:rsidTr="001C2560">
        <w:tc>
          <w:tcPr>
            <w:tcW w:w="10632" w:type="dxa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14:paraId="41F35499" w14:textId="77777777" w:rsidR="00C03B6D" w:rsidRPr="00E84F58" w:rsidRDefault="00C03B6D" w:rsidP="00D820B0">
            <w:pPr>
              <w:jc w:val="center"/>
              <w:rPr>
                <w:rFonts w:cs="Arial"/>
                <w:sz w:val="20"/>
                <w:szCs w:val="20"/>
              </w:rPr>
            </w:pPr>
            <w:r w:rsidRPr="00C90210">
              <w:rPr>
                <w:rFonts w:cs="Arial"/>
                <w:b/>
                <w:color w:val="C0504D"/>
                <w:sz w:val="20"/>
                <w:szCs w:val="20"/>
              </w:rPr>
              <w:t>WESTERN AUSTRALIA</w:t>
            </w:r>
            <w:r>
              <w:rPr>
                <w:rFonts w:cs="Arial"/>
                <w:b/>
                <w:color w:val="C0504D"/>
                <w:sz w:val="20"/>
                <w:szCs w:val="20"/>
              </w:rPr>
              <w:t>’S</w:t>
            </w:r>
            <w:r w:rsidRPr="00C90210">
              <w:rPr>
                <w:rFonts w:cs="Arial"/>
                <w:b/>
                <w:color w:val="C0504D"/>
                <w:sz w:val="20"/>
                <w:szCs w:val="20"/>
              </w:rPr>
              <w:t xml:space="preserve"> COMPETITIVENESS</w:t>
            </w:r>
          </w:p>
        </w:tc>
      </w:tr>
    </w:tbl>
    <w:p w14:paraId="3EAC43B1" w14:textId="77777777" w:rsidR="0024253F" w:rsidRDefault="0024253F" w:rsidP="00956FC1">
      <w:pPr>
        <w:jc w:val="left"/>
        <w:rPr>
          <w:rFonts w:ascii="Calibri Light" w:hAnsi="Calibri Light" w:cs="Segoe UI"/>
          <w:sz w:val="8"/>
          <w:szCs w:val="16"/>
        </w:rPr>
      </w:pPr>
    </w:p>
    <w:tbl>
      <w:tblPr>
        <w:tblStyle w:val="TableGrid"/>
        <w:tblW w:w="10632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3969"/>
      </w:tblGrid>
      <w:tr w:rsidR="0024253F" w:rsidRPr="007A2E7B" w14:paraId="51632DA9" w14:textId="77777777" w:rsidTr="00496EFD">
        <w:trPr>
          <w:trHeight w:val="283"/>
        </w:trPr>
        <w:tc>
          <w:tcPr>
            <w:tcW w:w="6663" w:type="dxa"/>
            <w:shd w:val="clear" w:color="auto" w:fill="C0504D" w:themeFill="accent2"/>
            <w:vAlign w:val="center"/>
          </w:tcPr>
          <w:p w14:paraId="419D0AA5" w14:textId="77777777" w:rsidR="0024253F" w:rsidRPr="00496EFD" w:rsidRDefault="0024253F" w:rsidP="002C557B">
            <w:pPr>
              <w:jc w:val="center"/>
              <w:rPr>
                <w:rFonts w:cs="Arial"/>
                <w:sz w:val="20"/>
                <w:szCs w:val="20"/>
              </w:rPr>
            </w:pPr>
            <w:r w:rsidRPr="00496EFD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Western Australia’s LNG export capacity</w:t>
            </w:r>
          </w:p>
        </w:tc>
        <w:tc>
          <w:tcPr>
            <w:tcW w:w="3969" w:type="dxa"/>
            <w:vMerge w:val="restart"/>
          </w:tcPr>
          <w:p w14:paraId="54EA949A" w14:textId="232D92E1" w:rsidR="00700149" w:rsidRDefault="00496EFD" w:rsidP="00496EFD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496EFD">
              <w:rPr>
                <w:rFonts w:cs="Arial"/>
                <w:sz w:val="18"/>
                <w:szCs w:val="18"/>
              </w:rPr>
              <w:t xml:space="preserve">Western Australia has an established and reliable LNG export industry. The State’s first LNG project, the North West Shelf, </w:t>
            </w:r>
            <w:r w:rsidR="00010767">
              <w:rPr>
                <w:rFonts w:cs="Arial"/>
                <w:sz w:val="18"/>
                <w:szCs w:val="18"/>
              </w:rPr>
              <w:t>marked</w:t>
            </w:r>
            <w:r w:rsidR="00010767" w:rsidRPr="00496EFD">
              <w:rPr>
                <w:rFonts w:cs="Arial"/>
                <w:sz w:val="18"/>
                <w:szCs w:val="18"/>
              </w:rPr>
              <w:t xml:space="preserve"> </w:t>
            </w:r>
            <w:r w:rsidRPr="00496EFD">
              <w:rPr>
                <w:rFonts w:cs="Arial"/>
                <w:sz w:val="18"/>
                <w:szCs w:val="18"/>
              </w:rPr>
              <w:t>30 years of LNG exports in 2019.</w:t>
            </w:r>
          </w:p>
          <w:p w14:paraId="64BCF829" w14:textId="4BE4D131" w:rsidR="00496EFD" w:rsidRPr="000A4DA6" w:rsidRDefault="00496EFD" w:rsidP="00496EFD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0A4DA6">
              <w:rPr>
                <w:rFonts w:cs="Arial"/>
                <w:sz w:val="18"/>
                <w:szCs w:val="18"/>
              </w:rPr>
              <w:t xml:space="preserve">High gas prices in the 2000s prompted major investment in Western Australia’s LNG industry. Western Australia currently has </w:t>
            </w:r>
            <w:r w:rsidR="002F04B1" w:rsidRPr="000A4DA6">
              <w:rPr>
                <w:rFonts w:cs="Arial"/>
                <w:sz w:val="18"/>
                <w:szCs w:val="18"/>
              </w:rPr>
              <w:t>five</w:t>
            </w:r>
            <w:r w:rsidRPr="000A4DA6">
              <w:rPr>
                <w:rFonts w:cs="Arial"/>
                <w:sz w:val="18"/>
                <w:szCs w:val="18"/>
              </w:rPr>
              <w:t xml:space="preserve"> operating LNG export projects: the North West Shelf, Pluto, Gorgon</w:t>
            </w:r>
            <w:r w:rsidR="002F04B1" w:rsidRPr="000A4DA6">
              <w:rPr>
                <w:rFonts w:cs="Arial"/>
                <w:sz w:val="18"/>
                <w:szCs w:val="18"/>
              </w:rPr>
              <w:t>,</w:t>
            </w:r>
            <w:r w:rsidRPr="000A4DA6">
              <w:rPr>
                <w:rFonts w:cs="Arial"/>
                <w:sz w:val="18"/>
                <w:szCs w:val="18"/>
              </w:rPr>
              <w:t xml:space="preserve"> Wheatstone</w:t>
            </w:r>
            <w:r w:rsidR="002F04B1" w:rsidRPr="000A4DA6">
              <w:rPr>
                <w:rFonts w:cs="Arial"/>
                <w:sz w:val="18"/>
                <w:szCs w:val="18"/>
              </w:rPr>
              <w:t xml:space="preserve"> and P</w:t>
            </w:r>
            <w:r w:rsidRPr="000A4DA6">
              <w:rPr>
                <w:rFonts w:cs="Arial"/>
                <w:sz w:val="18"/>
                <w:szCs w:val="18"/>
              </w:rPr>
              <w:t>relude</w:t>
            </w:r>
            <w:r w:rsidR="002F04B1" w:rsidRPr="000A4DA6">
              <w:rPr>
                <w:rFonts w:cs="Arial"/>
                <w:sz w:val="18"/>
                <w:szCs w:val="18"/>
              </w:rPr>
              <w:t>. T</w:t>
            </w:r>
            <w:r w:rsidRPr="000A4DA6">
              <w:rPr>
                <w:rFonts w:cs="Arial"/>
                <w:sz w:val="18"/>
                <w:szCs w:val="18"/>
              </w:rPr>
              <w:t>he State’s total LNG expo</w:t>
            </w:r>
            <w:r w:rsidR="002F04B1" w:rsidRPr="000A4DA6">
              <w:rPr>
                <w:rFonts w:cs="Arial"/>
                <w:sz w:val="18"/>
                <w:szCs w:val="18"/>
              </w:rPr>
              <w:t>rt capacity is</w:t>
            </w:r>
            <w:r w:rsidRPr="000A4DA6">
              <w:rPr>
                <w:rFonts w:cs="Arial"/>
                <w:sz w:val="18"/>
                <w:szCs w:val="18"/>
              </w:rPr>
              <w:t xml:space="preserve"> 50 million tonnes a year.</w:t>
            </w:r>
          </w:p>
          <w:p w14:paraId="1435073B" w14:textId="6A3AB844" w:rsidR="00496EFD" w:rsidRPr="007A2E7B" w:rsidRDefault="00BA502E" w:rsidP="00A96A15">
            <w:pPr>
              <w:numPr>
                <w:ilvl w:val="0"/>
                <w:numId w:val="11"/>
              </w:numPr>
              <w:ind w:left="360"/>
              <w:rPr>
                <w:rFonts w:ascii="Calibri Light" w:hAnsi="Calibri Light" w:cs="Segoe UI"/>
                <w:sz w:val="16"/>
                <w:szCs w:val="16"/>
              </w:rPr>
            </w:pPr>
            <w:r w:rsidRPr="000C41D9">
              <w:rPr>
                <w:rFonts w:cs="Arial"/>
                <w:sz w:val="18"/>
                <w:szCs w:val="18"/>
              </w:rPr>
              <w:t xml:space="preserve">Western Australia’s LNG projects are located relatively close to Asia, comparing favourably to the shipping distances from Qatar (with the exception of India). Shipping </w:t>
            </w:r>
            <w:r w:rsidR="00A96A15" w:rsidRPr="000C41D9">
              <w:rPr>
                <w:rFonts w:cs="Arial"/>
                <w:sz w:val="18"/>
                <w:szCs w:val="18"/>
              </w:rPr>
              <w:t xml:space="preserve">from Western Australia to Asia </w:t>
            </w:r>
            <w:r w:rsidRPr="000C41D9">
              <w:rPr>
                <w:rFonts w:cs="Arial"/>
                <w:sz w:val="18"/>
                <w:szCs w:val="18"/>
              </w:rPr>
              <w:t xml:space="preserve">takes </w:t>
            </w:r>
            <w:r w:rsidR="00A96A15" w:rsidRPr="000C41D9">
              <w:rPr>
                <w:rFonts w:cs="Arial"/>
                <w:sz w:val="18"/>
                <w:szCs w:val="18"/>
              </w:rPr>
              <w:t>less</w:t>
            </w:r>
            <w:r w:rsidRPr="000C41D9">
              <w:rPr>
                <w:rFonts w:cs="Arial"/>
                <w:sz w:val="18"/>
                <w:szCs w:val="18"/>
              </w:rPr>
              <w:t xml:space="preserve"> than </w:t>
            </w:r>
            <w:r w:rsidR="00A96A15" w:rsidRPr="000C41D9">
              <w:rPr>
                <w:rFonts w:cs="Arial"/>
                <w:sz w:val="18"/>
                <w:szCs w:val="18"/>
              </w:rPr>
              <w:t>half</w:t>
            </w:r>
            <w:r w:rsidRPr="000C41D9">
              <w:rPr>
                <w:rFonts w:cs="Arial"/>
                <w:sz w:val="18"/>
                <w:szCs w:val="18"/>
              </w:rPr>
              <w:t xml:space="preserve"> the time of shipping from </w:t>
            </w:r>
            <w:r w:rsidR="00A96A15" w:rsidRPr="000C41D9">
              <w:rPr>
                <w:rFonts w:cs="Arial"/>
                <w:sz w:val="18"/>
                <w:szCs w:val="18"/>
              </w:rPr>
              <w:t>the US Gulf Coast to Asia</w:t>
            </w:r>
            <w:r w:rsidRPr="000C41D9">
              <w:rPr>
                <w:rFonts w:cs="Arial"/>
                <w:sz w:val="18"/>
                <w:szCs w:val="18"/>
              </w:rPr>
              <w:t>.</w:t>
            </w:r>
          </w:p>
        </w:tc>
      </w:tr>
      <w:tr w:rsidR="0024253F" w:rsidRPr="007A2E7B" w14:paraId="2E2D330E" w14:textId="77777777" w:rsidTr="00FF703F">
        <w:trPr>
          <w:trHeight w:val="3257"/>
        </w:trPr>
        <w:tc>
          <w:tcPr>
            <w:tcW w:w="6663" w:type="dxa"/>
            <w:vAlign w:val="center"/>
          </w:tcPr>
          <w:p w14:paraId="64DB9451" w14:textId="07F5440B" w:rsidR="0024253F" w:rsidRPr="007A2E7B" w:rsidRDefault="00FF703F" w:rsidP="002C557B">
            <w:pPr>
              <w:jc w:val="left"/>
              <w:rPr>
                <w:rFonts w:ascii="Calibri Light" w:hAnsi="Calibri Light" w:cs="Segoe UI"/>
                <w:sz w:val="4"/>
                <w:szCs w:val="16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74005E7" wp14:editId="1D6CC796">
                  <wp:extent cx="4134949" cy="2667000"/>
                  <wp:effectExtent l="0" t="0" r="0" b="0"/>
                  <wp:docPr id="10" name="Chart 10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5"/>
                    </a:graphicData>
                  </a:graphic>
                </wp:inline>
              </w:drawing>
            </w:r>
          </w:p>
          <w:p w14:paraId="56D5E528" w14:textId="345C822B" w:rsidR="0024253F" w:rsidRPr="00496EFD" w:rsidRDefault="0024253F" w:rsidP="002C557B">
            <w:pPr>
              <w:rPr>
                <w:rFonts w:cs="Arial"/>
                <w:sz w:val="10"/>
                <w:szCs w:val="10"/>
              </w:rPr>
            </w:pPr>
            <w:r w:rsidRPr="00496EFD">
              <w:rPr>
                <w:rFonts w:cs="Arial"/>
                <w:sz w:val="10"/>
                <w:szCs w:val="10"/>
              </w:rPr>
              <w:t>Note – Additions to LNG export capacity reflect the start-up of LNG trains during a particular year</w:t>
            </w:r>
            <w:r w:rsidR="008A6288">
              <w:rPr>
                <w:rFonts w:cs="Arial"/>
                <w:sz w:val="10"/>
                <w:szCs w:val="10"/>
              </w:rPr>
              <w:t>.</w:t>
            </w:r>
          </w:p>
          <w:p w14:paraId="66C5016D" w14:textId="77777777" w:rsidR="0024253F" w:rsidRPr="007A2E7B" w:rsidRDefault="0024253F" w:rsidP="002C557B">
            <w:pPr>
              <w:jc w:val="left"/>
              <w:rPr>
                <w:rFonts w:ascii="Calibri Light" w:hAnsi="Calibri Light" w:cs="Segoe UI"/>
                <w:sz w:val="16"/>
                <w:szCs w:val="16"/>
              </w:rPr>
            </w:pPr>
            <w:r w:rsidRPr="00496EFD">
              <w:rPr>
                <w:rFonts w:cs="Arial"/>
                <w:sz w:val="10"/>
                <w:szCs w:val="10"/>
              </w:rPr>
              <w:t>Source: JTSI estimates based on public company announcements.</w:t>
            </w:r>
          </w:p>
        </w:tc>
        <w:tc>
          <w:tcPr>
            <w:tcW w:w="3969" w:type="dxa"/>
            <w:vMerge/>
          </w:tcPr>
          <w:p w14:paraId="2ED4A0E5" w14:textId="77777777" w:rsidR="0024253F" w:rsidRPr="007A2E7B" w:rsidRDefault="0024253F" w:rsidP="002C557B">
            <w:pPr>
              <w:rPr>
                <w:rFonts w:ascii="Calibri Light" w:hAnsi="Calibri Light" w:cs="Segoe UI"/>
                <w:sz w:val="16"/>
                <w:szCs w:val="16"/>
              </w:rPr>
            </w:pPr>
          </w:p>
        </w:tc>
      </w:tr>
    </w:tbl>
    <w:p w14:paraId="73B1AB25" w14:textId="00B0B60A" w:rsidR="0024253F" w:rsidRDefault="0024253F" w:rsidP="00DF5DC1">
      <w:pPr>
        <w:jc w:val="left"/>
        <w:rPr>
          <w:rFonts w:ascii="Calibri Light" w:hAnsi="Calibri Light" w:cs="Segoe UI"/>
          <w:sz w:val="8"/>
          <w:szCs w:val="16"/>
        </w:rPr>
      </w:pPr>
    </w:p>
    <w:tbl>
      <w:tblPr>
        <w:tblStyle w:val="TableGrid"/>
        <w:tblW w:w="4901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2"/>
        <w:gridCol w:w="3970"/>
      </w:tblGrid>
      <w:tr w:rsidR="00DF5DC1" w:rsidRPr="007A2E7B" w14:paraId="6B5BDDFA" w14:textId="77777777" w:rsidTr="00CB24B4">
        <w:trPr>
          <w:trHeight w:val="283"/>
        </w:trPr>
        <w:tc>
          <w:tcPr>
            <w:tcW w:w="3133" w:type="pct"/>
            <w:shd w:val="clear" w:color="auto" w:fill="C0504D" w:themeFill="accent2"/>
            <w:vAlign w:val="center"/>
          </w:tcPr>
          <w:p w14:paraId="543A095E" w14:textId="2D4B1A36" w:rsidR="00DF5DC1" w:rsidRPr="00CB24B4" w:rsidRDefault="000C41D9" w:rsidP="000C41D9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N</w:t>
            </w:r>
            <w:r w:rsidR="00BA502E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atural gas reserves and resources</w:t>
            </w:r>
          </w:p>
        </w:tc>
        <w:tc>
          <w:tcPr>
            <w:tcW w:w="1867" w:type="pct"/>
            <w:vMerge w:val="restart"/>
          </w:tcPr>
          <w:p w14:paraId="1C0D6D2A" w14:textId="77777777" w:rsidR="00F27749" w:rsidRDefault="00F27749" w:rsidP="00F27749">
            <w:pPr>
              <w:ind w:left="360"/>
              <w:rPr>
                <w:rFonts w:cs="Arial"/>
                <w:sz w:val="18"/>
                <w:szCs w:val="18"/>
              </w:rPr>
            </w:pPr>
          </w:p>
          <w:p w14:paraId="3E6A75F2" w14:textId="63890EE6" w:rsidR="00BA502E" w:rsidRPr="009632A1" w:rsidRDefault="00BA502E" w:rsidP="002F4D8B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9632A1">
              <w:rPr>
                <w:rFonts w:cs="Arial"/>
                <w:sz w:val="18"/>
                <w:szCs w:val="18"/>
              </w:rPr>
              <w:t xml:space="preserve">Western Australia’s </w:t>
            </w:r>
            <w:r w:rsidR="0094123D" w:rsidRPr="009632A1">
              <w:rPr>
                <w:rFonts w:cs="Arial"/>
                <w:sz w:val="18"/>
                <w:szCs w:val="18"/>
              </w:rPr>
              <w:t xml:space="preserve">current </w:t>
            </w:r>
            <w:r w:rsidRPr="009632A1">
              <w:rPr>
                <w:rFonts w:cs="Arial"/>
                <w:sz w:val="18"/>
                <w:szCs w:val="18"/>
              </w:rPr>
              <w:t>LNG projects are underpinned by large</w:t>
            </w:r>
            <w:r w:rsidR="002F4D8B" w:rsidRPr="009632A1">
              <w:rPr>
                <w:rFonts w:cs="Arial"/>
                <w:sz w:val="18"/>
                <w:szCs w:val="18"/>
              </w:rPr>
              <w:t>, conventional</w:t>
            </w:r>
            <w:r w:rsidRPr="009632A1">
              <w:rPr>
                <w:rFonts w:cs="Arial"/>
                <w:sz w:val="18"/>
                <w:szCs w:val="18"/>
              </w:rPr>
              <w:t xml:space="preserve"> gas reserves in the Ca</w:t>
            </w:r>
            <w:r w:rsidR="00D472FA" w:rsidRPr="009632A1">
              <w:rPr>
                <w:rFonts w:cs="Arial"/>
                <w:sz w:val="18"/>
                <w:szCs w:val="18"/>
              </w:rPr>
              <w:t>r</w:t>
            </w:r>
            <w:r w:rsidRPr="009632A1">
              <w:rPr>
                <w:rFonts w:cs="Arial"/>
                <w:sz w:val="18"/>
                <w:szCs w:val="18"/>
              </w:rPr>
              <w:t>narvon and Browse Basins</w:t>
            </w:r>
            <w:r w:rsidR="0094123D" w:rsidRPr="009632A1">
              <w:rPr>
                <w:rFonts w:cs="Arial"/>
                <w:sz w:val="18"/>
                <w:szCs w:val="18"/>
              </w:rPr>
              <w:t>,</w:t>
            </w:r>
            <w:r w:rsidRPr="009632A1">
              <w:rPr>
                <w:rFonts w:cs="Arial"/>
                <w:sz w:val="18"/>
                <w:szCs w:val="18"/>
              </w:rPr>
              <w:t xml:space="preserve"> which provide LNG</w:t>
            </w:r>
            <w:r w:rsidR="0094123D" w:rsidRPr="009632A1">
              <w:rPr>
                <w:rFonts w:cs="Arial"/>
                <w:sz w:val="18"/>
                <w:szCs w:val="18"/>
              </w:rPr>
              <w:t xml:space="preserve"> buyers with security of supply.</w:t>
            </w:r>
          </w:p>
          <w:p w14:paraId="25A2D476" w14:textId="6EC9FE6E" w:rsidR="00DF5DC1" w:rsidRPr="009632A1" w:rsidRDefault="0094123D" w:rsidP="0094123D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9632A1">
              <w:rPr>
                <w:rFonts w:cs="Arial"/>
                <w:sz w:val="18"/>
                <w:szCs w:val="18"/>
              </w:rPr>
              <w:t>Western Australia also has onshore shale and tight gas resources in the Canning, Carnarvon and Perth basins.</w:t>
            </w:r>
          </w:p>
          <w:p w14:paraId="72BD831D" w14:textId="4FB1F98A" w:rsidR="008A6288" w:rsidRPr="007A2E7B" w:rsidRDefault="002F4D8B" w:rsidP="00F27749">
            <w:pPr>
              <w:numPr>
                <w:ilvl w:val="0"/>
                <w:numId w:val="11"/>
              </w:numPr>
              <w:ind w:left="360"/>
              <w:rPr>
                <w:rFonts w:ascii="Calibri Light" w:hAnsi="Calibri Light" w:cs="Segoe UI"/>
                <w:sz w:val="16"/>
                <w:szCs w:val="16"/>
              </w:rPr>
            </w:pPr>
            <w:r w:rsidRPr="009632A1">
              <w:rPr>
                <w:rFonts w:cs="Arial"/>
                <w:sz w:val="18"/>
                <w:szCs w:val="18"/>
              </w:rPr>
              <w:t xml:space="preserve">The </w:t>
            </w:r>
            <w:r w:rsidR="00A245B1" w:rsidRPr="009632A1">
              <w:rPr>
                <w:rFonts w:cs="Arial"/>
                <w:sz w:val="18"/>
                <w:szCs w:val="18"/>
              </w:rPr>
              <w:t>WA Domestic Gas Policy</w:t>
            </w:r>
            <w:r w:rsidRPr="009632A1">
              <w:rPr>
                <w:rFonts w:cs="Arial"/>
                <w:sz w:val="18"/>
                <w:szCs w:val="18"/>
              </w:rPr>
              <w:t xml:space="preserve"> </w:t>
            </w:r>
            <w:r w:rsidR="00BA502E" w:rsidRPr="009632A1">
              <w:rPr>
                <w:rFonts w:cs="Arial"/>
                <w:sz w:val="18"/>
                <w:szCs w:val="18"/>
              </w:rPr>
              <w:t>requires LNG exporters to make gas available to Western Austra</w:t>
            </w:r>
            <w:r w:rsidRPr="009632A1">
              <w:rPr>
                <w:rFonts w:cs="Arial"/>
                <w:sz w:val="18"/>
                <w:szCs w:val="18"/>
              </w:rPr>
              <w:t>lian consumers equivalent to 15 per </w:t>
            </w:r>
            <w:r w:rsidR="00BA502E" w:rsidRPr="009632A1">
              <w:rPr>
                <w:rFonts w:cs="Arial"/>
                <w:sz w:val="18"/>
                <w:szCs w:val="18"/>
              </w:rPr>
              <w:t>cent of their LNG exports.</w:t>
            </w:r>
          </w:p>
        </w:tc>
      </w:tr>
      <w:tr w:rsidR="00DF5DC1" w:rsidRPr="007A2E7B" w14:paraId="5158A532" w14:textId="77777777" w:rsidTr="00CB24B4">
        <w:trPr>
          <w:trHeight w:val="3152"/>
        </w:trPr>
        <w:tc>
          <w:tcPr>
            <w:tcW w:w="3133" w:type="pct"/>
          </w:tcPr>
          <w:p w14:paraId="3E5FB622" w14:textId="77777777" w:rsidR="00DF5DC1" w:rsidRPr="00A52886" w:rsidRDefault="00DF5DC1" w:rsidP="00DF5DC1">
            <w:pPr>
              <w:rPr>
                <w:rFonts w:ascii="Calibri Light" w:hAnsi="Calibri Light" w:cs="Segoe UI"/>
                <w:sz w:val="10"/>
                <w:szCs w:val="16"/>
              </w:rPr>
            </w:pPr>
          </w:p>
          <w:tbl>
            <w:tblPr>
              <w:tblStyle w:val="TableGrid"/>
              <w:tblW w:w="6550" w:type="dxa"/>
              <w:tblBorders>
                <w:top w:val="single" w:sz="4" w:space="0" w:color="76923C" w:themeColor="accent3" w:themeShade="BF"/>
                <w:left w:val="single" w:sz="4" w:space="0" w:color="76923C" w:themeColor="accent3" w:themeShade="BF"/>
                <w:bottom w:val="single" w:sz="4" w:space="0" w:color="76923C" w:themeColor="accent3" w:themeShade="BF"/>
                <w:right w:val="single" w:sz="4" w:space="0" w:color="76923C" w:themeColor="accent3" w:themeShade="BF"/>
                <w:insideH w:val="single" w:sz="4" w:space="0" w:color="76923C" w:themeColor="accent3" w:themeShade="BF"/>
                <w:insideV w:val="single" w:sz="4" w:space="0" w:color="76923C" w:themeColor="accent3" w:themeShade="BF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34"/>
              <w:gridCol w:w="2408"/>
              <w:gridCol w:w="2408"/>
            </w:tblGrid>
            <w:tr w:rsidR="00A52886" w:rsidRPr="00A52886" w14:paraId="2940E8B1" w14:textId="77777777" w:rsidTr="0094123D">
              <w:trPr>
                <w:trHeight w:val="245"/>
              </w:trPr>
              <w:tc>
                <w:tcPr>
                  <w:tcW w:w="1734" w:type="dxa"/>
                  <w:tcBorders>
                    <w:top w:val="nil"/>
                    <w:left w:val="single" w:sz="4" w:space="0" w:color="C0504D" w:themeColor="accent2"/>
                    <w:bottom w:val="nil"/>
                    <w:right w:val="nil"/>
                  </w:tcBorders>
                  <w:shd w:val="clear" w:color="auto" w:fill="C0504D" w:themeFill="accent2"/>
                  <w:vAlign w:val="center"/>
                </w:tcPr>
                <w:p w14:paraId="2159BBB2" w14:textId="40AB97CA" w:rsidR="0094123D" w:rsidRPr="00A52886" w:rsidRDefault="0094123D" w:rsidP="0094123D">
                  <w:pPr>
                    <w:jc w:val="left"/>
                    <w:rPr>
                      <w:rFonts w:cs="Arial"/>
                      <w:sz w:val="18"/>
                      <w:szCs w:val="18"/>
                    </w:rPr>
                  </w:pPr>
                  <w:r w:rsidRPr="00A52886">
                    <w:rPr>
                      <w:rFonts w:cs="Arial"/>
                      <w:sz w:val="18"/>
                      <w:szCs w:val="18"/>
                    </w:rPr>
                    <w:t>Basin</w:t>
                  </w:r>
                </w:p>
              </w:tc>
              <w:tc>
                <w:tcPr>
                  <w:tcW w:w="2408" w:type="dxa"/>
                  <w:tcBorders>
                    <w:left w:val="nil"/>
                    <w:bottom w:val="single" w:sz="4" w:space="0" w:color="D99594" w:themeColor="accent2" w:themeTint="99"/>
                    <w:right w:val="single" w:sz="4" w:space="0" w:color="D99594" w:themeColor="accent2" w:themeTint="99"/>
                  </w:tcBorders>
                  <w:shd w:val="clear" w:color="auto" w:fill="C0504D" w:themeFill="accent2"/>
                  <w:vAlign w:val="center"/>
                </w:tcPr>
                <w:p w14:paraId="0C9153F2" w14:textId="789F48C1" w:rsidR="00C65054" w:rsidRPr="00A52886" w:rsidRDefault="00C65054" w:rsidP="00C65054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 w:rsidRPr="00A52886">
                    <w:rPr>
                      <w:rFonts w:cs="Arial"/>
                      <w:sz w:val="18"/>
                      <w:szCs w:val="18"/>
                    </w:rPr>
                    <w:t>R</w:t>
                  </w:r>
                  <w:r w:rsidR="0094123D" w:rsidRPr="00A52886">
                    <w:rPr>
                      <w:rFonts w:cs="Arial"/>
                      <w:sz w:val="18"/>
                      <w:szCs w:val="18"/>
                    </w:rPr>
                    <w:t>eserves</w:t>
                  </w:r>
                </w:p>
                <w:p w14:paraId="0A826147" w14:textId="09CB2A1E" w:rsidR="0094123D" w:rsidRPr="00A52886" w:rsidRDefault="0094123D" w:rsidP="00C65054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 w:rsidRPr="00A52886">
                    <w:rPr>
                      <w:rFonts w:cs="Arial"/>
                      <w:sz w:val="18"/>
                      <w:szCs w:val="18"/>
                    </w:rPr>
                    <w:t>(petajoules)</w:t>
                  </w:r>
                </w:p>
              </w:tc>
              <w:tc>
                <w:tcPr>
                  <w:tcW w:w="2408" w:type="dxa"/>
                  <w:tcBorders>
                    <w:left w:val="single" w:sz="4" w:space="0" w:color="D99594" w:themeColor="accent2" w:themeTint="99"/>
                    <w:bottom w:val="single" w:sz="4" w:space="0" w:color="D99594" w:themeColor="accent2" w:themeTint="99"/>
                    <w:right w:val="single" w:sz="4" w:space="0" w:color="D99594" w:themeColor="accent2" w:themeTint="99"/>
                  </w:tcBorders>
                  <w:shd w:val="clear" w:color="auto" w:fill="C0504D" w:themeFill="accent2"/>
                  <w:vAlign w:val="center"/>
                </w:tcPr>
                <w:p w14:paraId="0E58B46E" w14:textId="77777777" w:rsidR="0094123D" w:rsidRPr="00A52886" w:rsidRDefault="0094123D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 w:rsidRPr="00A52886">
                    <w:rPr>
                      <w:rFonts w:cs="Arial"/>
                      <w:sz w:val="18"/>
                      <w:szCs w:val="18"/>
                    </w:rPr>
                    <w:t>Contingent resources</w:t>
                  </w:r>
                </w:p>
                <w:p w14:paraId="46DA8A74" w14:textId="65E381B2" w:rsidR="0094123D" w:rsidRPr="00A52886" w:rsidRDefault="0094123D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 w:rsidRPr="00A52886">
                    <w:rPr>
                      <w:rFonts w:cs="Arial"/>
                      <w:sz w:val="18"/>
                      <w:szCs w:val="18"/>
                    </w:rPr>
                    <w:t>(petajoules</w:t>
                  </w:r>
                  <w:r w:rsidR="00904F74" w:rsidRPr="00A52886">
                    <w:rPr>
                      <w:rFonts w:cs="Arial"/>
                      <w:sz w:val="18"/>
                      <w:szCs w:val="18"/>
                    </w:rPr>
                    <w:t>)</w:t>
                  </w:r>
                </w:p>
              </w:tc>
            </w:tr>
            <w:tr w:rsidR="00A52886" w:rsidRPr="00A52886" w14:paraId="6E68145B" w14:textId="77777777" w:rsidTr="0094123D">
              <w:trPr>
                <w:trHeight w:val="424"/>
              </w:trPr>
              <w:tc>
                <w:tcPr>
                  <w:tcW w:w="1734" w:type="dxa"/>
                  <w:tcBorders>
                    <w:top w:val="nil"/>
                    <w:left w:val="single" w:sz="4" w:space="0" w:color="C0504D" w:themeColor="accent2"/>
                    <w:bottom w:val="single" w:sz="4" w:space="0" w:color="D99594" w:themeColor="accent2" w:themeTint="99"/>
                    <w:right w:val="single" w:sz="4" w:space="0" w:color="D99594" w:themeColor="accent2" w:themeTint="99"/>
                  </w:tcBorders>
                  <w:shd w:val="clear" w:color="auto" w:fill="C0504D" w:themeFill="accent2"/>
                  <w:vAlign w:val="center"/>
                </w:tcPr>
                <w:p w14:paraId="37DE3EC0" w14:textId="0914618E" w:rsidR="0094123D" w:rsidRPr="00A52886" w:rsidRDefault="0094123D" w:rsidP="0094123D">
                  <w:pPr>
                    <w:spacing w:after="8"/>
                    <w:jc w:val="left"/>
                    <w:rPr>
                      <w:rFonts w:cs="Arial"/>
                      <w:sz w:val="18"/>
                      <w:szCs w:val="18"/>
                    </w:rPr>
                  </w:pPr>
                  <w:r w:rsidRPr="00A52886">
                    <w:rPr>
                      <w:rFonts w:cs="Arial"/>
                      <w:sz w:val="18"/>
                      <w:szCs w:val="18"/>
                    </w:rPr>
                    <w:t>Ca</w:t>
                  </w:r>
                  <w:r w:rsidR="00904F74" w:rsidRPr="00A52886">
                    <w:rPr>
                      <w:rFonts w:cs="Arial"/>
                      <w:sz w:val="18"/>
                      <w:szCs w:val="18"/>
                    </w:rPr>
                    <w:t>r</w:t>
                  </w:r>
                  <w:r w:rsidRPr="00A52886">
                    <w:rPr>
                      <w:rFonts w:cs="Arial"/>
                      <w:sz w:val="18"/>
                      <w:szCs w:val="18"/>
                    </w:rPr>
                    <w:t>narvon</w:t>
                  </w:r>
                </w:p>
              </w:tc>
              <w:tc>
                <w:tcPr>
                  <w:tcW w:w="2408" w:type="dxa"/>
                  <w:tcBorders>
                    <w:top w:val="single" w:sz="4" w:space="0" w:color="D99594" w:themeColor="accent2" w:themeTint="99"/>
                    <w:left w:val="single" w:sz="4" w:space="0" w:color="D99594" w:themeColor="accent2" w:themeTint="99"/>
                    <w:bottom w:val="single" w:sz="4" w:space="0" w:color="C0504D" w:themeColor="accent2"/>
                    <w:right w:val="single" w:sz="4" w:space="0" w:color="C0504D" w:themeColor="accent2"/>
                  </w:tcBorders>
                  <w:shd w:val="clear" w:color="auto" w:fill="F2DBDB" w:themeFill="accent2" w:themeFillTint="33"/>
                  <w:vAlign w:val="center"/>
                </w:tcPr>
                <w:p w14:paraId="641A2523" w14:textId="4E8D0E68" w:rsidR="0094123D" w:rsidRPr="00A52886" w:rsidRDefault="002F4D8B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 w:rsidRPr="00A52886">
                    <w:rPr>
                      <w:rFonts w:cs="Arial"/>
                      <w:sz w:val="18"/>
                      <w:szCs w:val="18"/>
                    </w:rPr>
                    <w:t>45,699</w:t>
                  </w:r>
                </w:p>
              </w:tc>
              <w:tc>
                <w:tcPr>
                  <w:tcW w:w="2408" w:type="dxa"/>
                  <w:tcBorders>
                    <w:top w:val="single" w:sz="4" w:space="0" w:color="D99594" w:themeColor="accent2" w:themeTint="99"/>
                    <w:left w:val="single" w:sz="4" w:space="0" w:color="C0504D" w:themeColor="accent2"/>
                    <w:bottom w:val="single" w:sz="4" w:space="0" w:color="C0504D" w:themeColor="accent2"/>
                    <w:right w:val="single" w:sz="4" w:space="0" w:color="C0504D" w:themeColor="accent2"/>
                  </w:tcBorders>
                  <w:shd w:val="clear" w:color="auto" w:fill="F2DBDB" w:themeFill="accent2" w:themeFillTint="33"/>
                  <w:vAlign w:val="center"/>
                </w:tcPr>
                <w:p w14:paraId="5A0FA44D" w14:textId="6E003670" w:rsidR="0094123D" w:rsidRPr="00A52886" w:rsidRDefault="002F4D8B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 w:rsidRPr="00A52886">
                    <w:rPr>
                      <w:rFonts w:cs="Arial"/>
                      <w:sz w:val="18"/>
                      <w:szCs w:val="18"/>
                    </w:rPr>
                    <w:t>39,515</w:t>
                  </w:r>
                </w:p>
              </w:tc>
            </w:tr>
            <w:tr w:rsidR="00A52886" w:rsidRPr="00A52886" w14:paraId="6BFCBF83" w14:textId="77777777" w:rsidTr="0094123D">
              <w:trPr>
                <w:trHeight w:val="402"/>
              </w:trPr>
              <w:tc>
                <w:tcPr>
                  <w:tcW w:w="1734" w:type="dxa"/>
                  <w:tcBorders>
                    <w:top w:val="single" w:sz="4" w:space="0" w:color="D99594" w:themeColor="accent2" w:themeTint="99"/>
                    <w:left w:val="single" w:sz="4" w:space="0" w:color="C0504D" w:themeColor="accent2"/>
                    <w:bottom w:val="single" w:sz="4" w:space="0" w:color="D99594" w:themeColor="accent2" w:themeTint="99"/>
                    <w:right w:val="single" w:sz="4" w:space="0" w:color="D99594" w:themeColor="accent2" w:themeTint="99"/>
                  </w:tcBorders>
                  <w:shd w:val="clear" w:color="auto" w:fill="C0504D" w:themeFill="accent2"/>
                  <w:vAlign w:val="center"/>
                </w:tcPr>
                <w:p w14:paraId="59D0CE54" w14:textId="5E759062" w:rsidR="0094123D" w:rsidRPr="00A52886" w:rsidRDefault="0094123D" w:rsidP="0094123D">
                  <w:pPr>
                    <w:spacing w:after="8"/>
                    <w:jc w:val="left"/>
                    <w:rPr>
                      <w:rFonts w:cs="Arial"/>
                      <w:sz w:val="18"/>
                      <w:szCs w:val="18"/>
                    </w:rPr>
                  </w:pPr>
                  <w:r w:rsidRPr="00A52886">
                    <w:rPr>
                      <w:rFonts w:cs="Arial"/>
                      <w:sz w:val="18"/>
                      <w:szCs w:val="18"/>
                    </w:rPr>
                    <w:t>Browse</w:t>
                  </w:r>
                </w:p>
              </w:tc>
              <w:tc>
                <w:tcPr>
                  <w:tcW w:w="2408" w:type="dxa"/>
                  <w:tcBorders>
                    <w:top w:val="single" w:sz="4" w:space="0" w:color="C0504D" w:themeColor="accent2"/>
                    <w:left w:val="single" w:sz="4" w:space="0" w:color="D99594" w:themeColor="accent2" w:themeTint="99"/>
                    <w:bottom w:val="single" w:sz="4" w:space="0" w:color="C0504D" w:themeColor="accent2"/>
                    <w:right w:val="single" w:sz="4" w:space="0" w:color="C0504D" w:themeColor="accent2"/>
                  </w:tcBorders>
                  <w:shd w:val="clear" w:color="auto" w:fill="E5B8B7" w:themeFill="accent2" w:themeFillTint="66"/>
                  <w:vAlign w:val="center"/>
                </w:tcPr>
                <w:p w14:paraId="3A884D79" w14:textId="070F21CF" w:rsidR="0094123D" w:rsidRPr="00A52886" w:rsidRDefault="002F4D8B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 w:rsidRPr="00A52886">
                    <w:rPr>
                      <w:rFonts w:cs="Arial"/>
                      <w:sz w:val="18"/>
                      <w:szCs w:val="18"/>
                    </w:rPr>
                    <w:t>16,830</w:t>
                  </w:r>
                </w:p>
              </w:tc>
              <w:tc>
                <w:tcPr>
                  <w:tcW w:w="2408" w:type="dxa"/>
                  <w:tcBorders>
                    <w:top w:val="single" w:sz="4" w:space="0" w:color="C0504D" w:themeColor="accent2"/>
                    <w:left w:val="single" w:sz="4" w:space="0" w:color="C0504D" w:themeColor="accent2"/>
                    <w:bottom w:val="single" w:sz="4" w:space="0" w:color="C0504D" w:themeColor="accent2"/>
                    <w:right w:val="single" w:sz="4" w:space="0" w:color="C0504D" w:themeColor="accent2"/>
                  </w:tcBorders>
                  <w:shd w:val="clear" w:color="auto" w:fill="E5B8B7" w:themeFill="accent2" w:themeFillTint="66"/>
                  <w:vAlign w:val="center"/>
                </w:tcPr>
                <w:p w14:paraId="1A10F672" w14:textId="7FC98A14" w:rsidR="0094123D" w:rsidRPr="00A52886" w:rsidRDefault="002F4D8B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 w:rsidRPr="00A52886">
                    <w:rPr>
                      <w:rFonts w:cs="Arial"/>
                      <w:sz w:val="18"/>
                      <w:szCs w:val="18"/>
                    </w:rPr>
                    <w:t>19,943</w:t>
                  </w:r>
                </w:p>
              </w:tc>
            </w:tr>
            <w:tr w:rsidR="00A52886" w:rsidRPr="00A52886" w14:paraId="169AF57A" w14:textId="77777777" w:rsidTr="0094123D">
              <w:trPr>
                <w:trHeight w:val="423"/>
              </w:trPr>
              <w:tc>
                <w:tcPr>
                  <w:tcW w:w="1734" w:type="dxa"/>
                  <w:tcBorders>
                    <w:top w:val="single" w:sz="4" w:space="0" w:color="D99594" w:themeColor="accent2" w:themeTint="99"/>
                    <w:left w:val="single" w:sz="4" w:space="0" w:color="C0504D" w:themeColor="accent2"/>
                    <w:bottom w:val="single" w:sz="4" w:space="0" w:color="D99594" w:themeColor="accent2" w:themeTint="99"/>
                    <w:right w:val="single" w:sz="4" w:space="0" w:color="D99594" w:themeColor="accent2" w:themeTint="99"/>
                  </w:tcBorders>
                  <w:shd w:val="clear" w:color="auto" w:fill="C0504D" w:themeFill="accent2"/>
                  <w:vAlign w:val="center"/>
                </w:tcPr>
                <w:p w14:paraId="5A4BE58C" w14:textId="3572065D" w:rsidR="0094123D" w:rsidRPr="00A52886" w:rsidRDefault="0094123D" w:rsidP="0094123D">
                  <w:pPr>
                    <w:jc w:val="left"/>
                    <w:rPr>
                      <w:rFonts w:cs="Arial"/>
                      <w:sz w:val="18"/>
                      <w:szCs w:val="18"/>
                    </w:rPr>
                  </w:pPr>
                  <w:r w:rsidRPr="00A52886">
                    <w:rPr>
                      <w:rFonts w:cs="Arial"/>
                      <w:sz w:val="18"/>
                      <w:szCs w:val="18"/>
                    </w:rPr>
                    <w:t>Bonaparte</w:t>
                  </w:r>
                </w:p>
              </w:tc>
              <w:tc>
                <w:tcPr>
                  <w:tcW w:w="2408" w:type="dxa"/>
                  <w:tcBorders>
                    <w:top w:val="single" w:sz="4" w:space="0" w:color="C0504D" w:themeColor="accent2"/>
                    <w:left w:val="single" w:sz="4" w:space="0" w:color="D99594" w:themeColor="accent2" w:themeTint="99"/>
                    <w:bottom w:val="single" w:sz="4" w:space="0" w:color="C0504D" w:themeColor="accent2"/>
                    <w:right w:val="single" w:sz="4" w:space="0" w:color="C0504D" w:themeColor="accent2"/>
                  </w:tcBorders>
                  <w:shd w:val="clear" w:color="auto" w:fill="F2DBDB" w:themeFill="accent2" w:themeFillTint="33"/>
                  <w:vAlign w:val="center"/>
                </w:tcPr>
                <w:p w14:paraId="2CB20780" w14:textId="60D5485F" w:rsidR="0094123D" w:rsidRPr="00A52886" w:rsidRDefault="002F4D8B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 w:rsidRPr="00A52886">
                    <w:rPr>
                      <w:rFonts w:cs="Arial"/>
                      <w:sz w:val="18"/>
                      <w:szCs w:val="18"/>
                    </w:rPr>
                    <w:t>734</w:t>
                  </w:r>
                </w:p>
              </w:tc>
              <w:tc>
                <w:tcPr>
                  <w:tcW w:w="2408" w:type="dxa"/>
                  <w:tcBorders>
                    <w:top w:val="single" w:sz="4" w:space="0" w:color="C0504D" w:themeColor="accent2"/>
                    <w:left w:val="single" w:sz="4" w:space="0" w:color="C0504D" w:themeColor="accent2"/>
                    <w:bottom w:val="single" w:sz="4" w:space="0" w:color="C0504D" w:themeColor="accent2"/>
                    <w:right w:val="single" w:sz="4" w:space="0" w:color="C0504D" w:themeColor="accent2"/>
                  </w:tcBorders>
                  <w:shd w:val="clear" w:color="auto" w:fill="F2DBDB" w:themeFill="accent2" w:themeFillTint="33"/>
                  <w:vAlign w:val="center"/>
                </w:tcPr>
                <w:p w14:paraId="44D67298" w14:textId="74E32FEF" w:rsidR="0094123D" w:rsidRPr="00A52886" w:rsidRDefault="002F4D8B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 w:rsidRPr="00A52886">
                    <w:rPr>
                      <w:rFonts w:cs="Arial"/>
                      <w:sz w:val="18"/>
                      <w:szCs w:val="18"/>
                    </w:rPr>
                    <w:t>18,974</w:t>
                  </w:r>
                </w:p>
              </w:tc>
            </w:tr>
            <w:tr w:rsidR="00A52886" w:rsidRPr="00A52886" w14:paraId="2A03FC65" w14:textId="77777777" w:rsidTr="0094123D">
              <w:trPr>
                <w:trHeight w:val="415"/>
              </w:trPr>
              <w:tc>
                <w:tcPr>
                  <w:tcW w:w="1734" w:type="dxa"/>
                  <w:tcBorders>
                    <w:top w:val="single" w:sz="4" w:space="0" w:color="D99594" w:themeColor="accent2" w:themeTint="99"/>
                    <w:left w:val="single" w:sz="4" w:space="0" w:color="C0504D" w:themeColor="accent2"/>
                    <w:bottom w:val="single" w:sz="4" w:space="0" w:color="D99594" w:themeColor="accent2" w:themeTint="99"/>
                    <w:right w:val="single" w:sz="4" w:space="0" w:color="D99594" w:themeColor="accent2" w:themeTint="99"/>
                  </w:tcBorders>
                  <w:shd w:val="clear" w:color="auto" w:fill="C0504D" w:themeFill="accent2"/>
                  <w:vAlign w:val="center"/>
                </w:tcPr>
                <w:p w14:paraId="0245183F" w14:textId="7A2D3134" w:rsidR="0094123D" w:rsidRPr="00A52886" w:rsidRDefault="0094123D" w:rsidP="0094123D">
                  <w:pPr>
                    <w:spacing w:after="8"/>
                    <w:jc w:val="left"/>
                    <w:rPr>
                      <w:rFonts w:cs="Arial"/>
                      <w:sz w:val="18"/>
                      <w:szCs w:val="18"/>
                    </w:rPr>
                  </w:pPr>
                  <w:r w:rsidRPr="00A52886">
                    <w:rPr>
                      <w:rFonts w:cs="Arial"/>
                      <w:sz w:val="18"/>
                      <w:szCs w:val="18"/>
                    </w:rPr>
                    <w:t>Perth</w:t>
                  </w:r>
                </w:p>
              </w:tc>
              <w:tc>
                <w:tcPr>
                  <w:tcW w:w="2408" w:type="dxa"/>
                  <w:tcBorders>
                    <w:top w:val="single" w:sz="4" w:space="0" w:color="C0504D" w:themeColor="accent2"/>
                    <w:left w:val="single" w:sz="4" w:space="0" w:color="D99594" w:themeColor="accent2" w:themeTint="99"/>
                    <w:bottom w:val="single" w:sz="4" w:space="0" w:color="C0504D" w:themeColor="accent2"/>
                    <w:right w:val="single" w:sz="4" w:space="0" w:color="C0504D" w:themeColor="accent2"/>
                  </w:tcBorders>
                  <w:shd w:val="clear" w:color="auto" w:fill="E5B8B7" w:themeFill="accent2" w:themeFillTint="66"/>
                  <w:vAlign w:val="center"/>
                </w:tcPr>
                <w:p w14:paraId="2FBFED26" w14:textId="59932346" w:rsidR="0094123D" w:rsidRPr="00A52886" w:rsidRDefault="001D7D14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 w:rsidRPr="00A52886">
                    <w:rPr>
                      <w:rFonts w:cs="Arial"/>
                      <w:sz w:val="18"/>
                      <w:szCs w:val="18"/>
                    </w:rPr>
                    <w:t>1,178</w:t>
                  </w:r>
                </w:p>
              </w:tc>
              <w:tc>
                <w:tcPr>
                  <w:tcW w:w="2408" w:type="dxa"/>
                  <w:tcBorders>
                    <w:top w:val="single" w:sz="4" w:space="0" w:color="C0504D" w:themeColor="accent2"/>
                    <w:left w:val="single" w:sz="4" w:space="0" w:color="C0504D" w:themeColor="accent2"/>
                    <w:bottom w:val="single" w:sz="4" w:space="0" w:color="C0504D" w:themeColor="accent2"/>
                    <w:right w:val="single" w:sz="4" w:space="0" w:color="C0504D" w:themeColor="accent2"/>
                  </w:tcBorders>
                  <w:shd w:val="clear" w:color="auto" w:fill="E5B8B7" w:themeFill="accent2" w:themeFillTint="66"/>
                  <w:vAlign w:val="center"/>
                </w:tcPr>
                <w:p w14:paraId="70F9907D" w14:textId="63F91D6F" w:rsidR="0094123D" w:rsidRPr="00A52886" w:rsidRDefault="001D7D14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 w:rsidRPr="00A52886">
                    <w:rPr>
                      <w:rFonts w:cs="Arial"/>
                      <w:sz w:val="18"/>
                      <w:szCs w:val="18"/>
                    </w:rPr>
                    <w:t>994</w:t>
                  </w:r>
                </w:p>
              </w:tc>
            </w:tr>
          </w:tbl>
          <w:p w14:paraId="2E7FC9A6" w14:textId="688A5CAD" w:rsidR="00DF5DC1" w:rsidRPr="00A52886" w:rsidRDefault="00DF5DC1" w:rsidP="00DF5DC1">
            <w:pPr>
              <w:spacing w:before="30"/>
              <w:rPr>
                <w:rFonts w:cs="Arial"/>
                <w:sz w:val="10"/>
                <w:szCs w:val="10"/>
              </w:rPr>
            </w:pPr>
            <w:r w:rsidRPr="00A52886">
              <w:rPr>
                <w:rFonts w:cs="Arial"/>
                <w:sz w:val="10"/>
                <w:szCs w:val="10"/>
              </w:rPr>
              <w:t>Note –.</w:t>
            </w:r>
            <w:r w:rsidR="002F4D8B" w:rsidRPr="00A52886">
              <w:rPr>
                <w:rFonts w:cs="Arial"/>
                <w:sz w:val="10"/>
                <w:szCs w:val="10"/>
              </w:rPr>
              <w:t xml:space="preserve">Reserves and resources are categorised by probability or likelihood of recovery. </w:t>
            </w:r>
            <w:r w:rsidR="00A96A15" w:rsidRPr="00A52886">
              <w:rPr>
                <w:rFonts w:cs="Arial"/>
                <w:sz w:val="10"/>
                <w:szCs w:val="10"/>
              </w:rPr>
              <w:t>In the table above, reserves refer to 2P reserves (that are proved (90%) and probable (50%)); while contingent resources refer to 2C resources (best estimate contingent resources).</w:t>
            </w:r>
          </w:p>
          <w:p w14:paraId="2263BFA3" w14:textId="2D676CF5" w:rsidR="00C65054" w:rsidRPr="00A52886" w:rsidRDefault="00C65054" w:rsidP="00DF5DC1">
            <w:pPr>
              <w:rPr>
                <w:rFonts w:cs="Arial"/>
                <w:sz w:val="10"/>
                <w:szCs w:val="10"/>
              </w:rPr>
            </w:pPr>
            <w:r w:rsidRPr="00A52886">
              <w:rPr>
                <w:rFonts w:cs="Arial"/>
                <w:sz w:val="10"/>
                <w:szCs w:val="10"/>
              </w:rPr>
              <w:t xml:space="preserve">Bonaparte Basin </w:t>
            </w:r>
            <w:r w:rsidR="00D472FA" w:rsidRPr="00A52886">
              <w:rPr>
                <w:rFonts w:cs="Arial"/>
                <w:sz w:val="10"/>
                <w:szCs w:val="10"/>
              </w:rPr>
              <w:t>figures</w:t>
            </w:r>
            <w:r w:rsidRPr="00A52886">
              <w:rPr>
                <w:rFonts w:cs="Arial"/>
                <w:sz w:val="10"/>
                <w:szCs w:val="10"/>
              </w:rPr>
              <w:t xml:space="preserve"> refer to Australia’s share</w:t>
            </w:r>
            <w:r w:rsidR="00D472FA" w:rsidRPr="00A52886">
              <w:rPr>
                <w:rFonts w:cs="Arial"/>
                <w:sz w:val="10"/>
                <w:szCs w:val="10"/>
              </w:rPr>
              <w:t xml:space="preserve"> of reserves and resources</w:t>
            </w:r>
            <w:r w:rsidR="0013362C" w:rsidRPr="00A52886">
              <w:rPr>
                <w:rFonts w:cs="Arial"/>
                <w:sz w:val="10"/>
                <w:szCs w:val="10"/>
              </w:rPr>
              <w:t>.</w:t>
            </w:r>
          </w:p>
          <w:p w14:paraId="7767A9B6" w14:textId="0DF093C4" w:rsidR="00DF5DC1" w:rsidRPr="00A52886" w:rsidRDefault="00DF5DC1" w:rsidP="001D7D14">
            <w:pPr>
              <w:rPr>
                <w:rFonts w:ascii="Calibri Light" w:hAnsi="Calibri Light" w:cs="Segoe UI"/>
                <w:i/>
                <w:sz w:val="16"/>
                <w:szCs w:val="16"/>
              </w:rPr>
            </w:pPr>
            <w:r w:rsidRPr="00A52886">
              <w:rPr>
                <w:rFonts w:cs="Arial"/>
                <w:sz w:val="10"/>
                <w:szCs w:val="10"/>
              </w:rPr>
              <w:t xml:space="preserve">Source:  </w:t>
            </w:r>
            <w:r w:rsidR="0094123D" w:rsidRPr="00A52886">
              <w:rPr>
                <w:rFonts w:cs="Arial"/>
                <w:sz w:val="10"/>
                <w:szCs w:val="10"/>
              </w:rPr>
              <w:t>EnergyQuest EnergyQuarterly</w:t>
            </w:r>
            <w:r w:rsidR="002F4D8B" w:rsidRPr="00A52886">
              <w:rPr>
                <w:rFonts w:cs="Arial"/>
                <w:sz w:val="10"/>
                <w:szCs w:val="10"/>
              </w:rPr>
              <w:t xml:space="preserve"> (</w:t>
            </w:r>
            <w:r w:rsidR="001D7D14" w:rsidRPr="00A52886">
              <w:rPr>
                <w:rFonts w:cs="Arial"/>
                <w:sz w:val="10"/>
                <w:szCs w:val="10"/>
              </w:rPr>
              <w:t>September</w:t>
            </w:r>
            <w:r w:rsidR="002F4D8B" w:rsidRPr="00A52886">
              <w:rPr>
                <w:rFonts w:cs="Arial"/>
                <w:sz w:val="10"/>
                <w:szCs w:val="10"/>
              </w:rPr>
              <w:t> 2020)</w:t>
            </w:r>
          </w:p>
        </w:tc>
        <w:tc>
          <w:tcPr>
            <w:tcW w:w="1867" w:type="pct"/>
            <w:vMerge/>
          </w:tcPr>
          <w:p w14:paraId="5EE6A519" w14:textId="77777777" w:rsidR="00DF5DC1" w:rsidRPr="007A2E7B" w:rsidRDefault="00DF5DC1" w:rsidP="00DF5DC1">
            <w:pPr>
              <w:pStyle w:val="ListParagraph"/>
              <w:numPr>
                <w:ilvl w:val="0"/>
                <w:numId w:val="12"/>
              </w:numPr>
              <w:ind w:left="176" w:hanging="176"/>
              <w:contextualSpacing w:val="0"/>
              <w:rPr>
                <w:rFonts w:ascii="Calibri Light" w:hAnsi="Calibri Light" w:cs="Segoe UI"/>
                <w:sz w:val="16"/>
                <w:szCs w:val="16"/>
              </w:rPr>
            </w:pPr>
          </w:p>
        </w:tc>
      </w:tr>
      <w:tr w:rsidR="00E83236" w:rsidRPr="0067689A" w14:paraId="3CD92E5F" w14:textId="77777777" w:rsidTr="008A6288">
        <w:trPr>
          <w:trHeight w:val="283"/>
        </w:trPr>
        <w:tc>
          <w:tcPr>
            <w:tcW w:w="3133" w:type="pct"/>
            <w:shd w:val="clear" w:color="auto" w:fill="C0504D" w:themeFill="accent2"/>
            <w:vAlign w:val="center"/>
          </w:tcPr>
          <w:p w14:paraId="2586D949" w14:textId="35F72084" w:rsidR="00E83236" w:rsidRPr="008A6288" w:rsidRDefault="00E83236" w:rsidP="00D820B0">
            <w:pPr>
              <w:jc w:val="center"/>
              <w:rPr>
                <w:rFonts w:cs="Arial"/>
                <w:sz w:val="20"/>
                <w:szCs w:val="20"/>
              </w:rPr>
            </w:pPr>
            <w:r w:rsidRPr="008A6288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LNG/pipeline gas prices</w:t>
            </w:r>
          </w:p>
        </w:tc>
        <w:tc>
          <w:tcPr>
            <w:tcW w:w="1867" w:type="pct"/>
            <w:vMerge w:val="restart"/>
          </w:tcPr>
          <w:p w14:paraId="4E8EEE9A" w14:textId="77777777" w:rsidR="00CB24B4" w:rsidRDefault="00CB24B4" w:rsidP="00CB24B4">
            <w:pPr>
              <w:ind w:left="360"/>
              <w:rPr>
                <w:rFonts w:cs="Arial"/>
                <w:sz w:val="18"/>
                <w:szCs w:val="18"/>
              </w:rPr>
            </w:pPr>
          </w:p>
          <w:p w14:paraId="73C8E40E" w14:textId="6DD640FE" w:rsidR="007172AC" w:rsidRPr="000A4DA6" w:rsidRDefault="007172AC" w:rsidP="00D820B0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0A4DA6">
              <w:rPr>
                <w:rFonts w:cs="Arial"/>
                <w:sz w:val="18"/>
                <w:szCs w:val="18"/>
              </w:rPr>
              <w:t>Western Australia’s LNG projects have low operating costs, giving them the capacity to maintain supply as prices vary.</w:t>
            </w:r>
          </w:p>
          <w:p w14:paraId="1CAA0B6C" w14:textId="0E9D5426" w:rsidR="00E83236" w:rsidRPr="008A6288" w:rsidRDefault="00E83236" w:rsidP="00D820B0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8A6288">
              <w:rPr>
                <w:rFonts w:cs="Arial"/>
                <w:sz w:val="18"/>
                <w:szCs w:val="18"/>
              </w:rPr>
              <w:t>Most long</w:t>
            </w:r>
            <w:r w:rsidRPr="008A6288">
              <w:rPr>
                <w:rFonts w:cs="Arial"/>
                <w:sz w:val="18"/>
                <w:szCs w:val="18"/>
              </w:rPr>
              <w:noBreakHyphen/>
              <w:t>term LNG contracts for supply to Asia have prices linked to the oil price, so LNG prices in Asia generally move with the oil price (with a timing lag of a few months).</w:t>
            </w:r>
            <w:r w:rsidR="008A6288">
              <w:rPr>
                <w:rFonts w:cs="Arial"/>
                <w:sz w:val="18"/>
                <w:szCs w:val="18"/>
              </w:rPr>
              <w:t xml:space="preserve"> </w:t>
            </w:r>
            <w:r w:rsidRPr="008A6288">
              <w:rPr>
                <w:rFonts w:cs="Arial"/>
                <w:sz w:val="18"/>
                <w:szCs w:val="18"/>
              </w:rPr>
              <w:t xml:space="preserve">This differs from gas prices in the USA </w:t>
            </w:r>
            <w:r w:rsidR="008A6288" w:rsidRPr="008A6288">
              <w:rPr>
                <w:rFonts w:cs="Arial"/>
                <w:sz w:val="18"/>
                <w:szCs w:val="18"/>
              </w:rPr>
              <w:t xml:space="preserve">and Europe </w:t>
            </w:r>
            <w:r w:rsidRPr="008A6288">
              <w:rPr>
                <w:rFonts w:cs="Arial"/>
                <w:sz w:val="18"/>
                <w:szCs w:val="18"/>
              </w:rPr>
              <w:t>which respond to the regional gas market</w:t>
            </w:r>
            <w:r w:rsidR="004D5400">
              <w:rPr>
                <w:rFonts w:cs="Arial"/>
                <w:sz w:val="18"/>
                <w:szCs w:val="18"/>
              </w:rPr>
              <w:t>.</w:t>
            </w:r>
          </w:p>
          <w:p w14:paraId="4284ECF3" w14:textId="548E953F" w:rsidR="00E83236" w:rsidRPr="003F0880" w:rsidRDefault="00E83236" w:rsidP="00CB24B4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3F0880">
              <w:rPr>
                <w:rFonts w:cs="Arial"/>
                <w:sz w:val="18"/>
                <w:szCs w:val="18"/>
              </w:rPr>
              <w:t xml:space="preserve">The average price of Japan’s LNG imports in </w:t>
            </w:r>
            <w:r w:rsidR="001D7D14" w:rsidRPr="003F0880">
              <w:rPr>
                <w:rFonts w:cs="Arial"/>
                <w:sz w:val="18"/>
                <w:szCs w:val="18"/>
              </w:rPr>
              <w:t>August</w:t>
            </w:r>
            <w:r w:rsidR="009E54DF" w:rsidRPr="003F0880">
              <w:rPr>
                <w:rFonts w:cs="Arial"/>
                <w:sz w:val="18"/>
                <w:szCs w:val="18"/>
              </w:rPr>
              <w:t> 2020 was US$</w:t>
            </w:r>
            <w:r w:rsidR="001D7D14" w:rsidRPr="003F0880">
              <w:rPr>
                <w:rFonts w:cs="Arial"/>
                <w:sz w:val="18"/>
                <w:szCs w:val="18"/>
              </w:rPr>
              <w:t>7.8</w:t>
            </w:r>
            <w:r w:rsidR="00A46A7A" w:rsidRPr="003F0880">
              <w:rPr>
                <w:rFonts w:cs="Arial"/>
                <w:sz w:val="18"/>
                <w:szCs w:val="18"/>
              </w:rPr>
              <w:t> </w:t>
            </w:r>
            <w:r w:rsidRPr="003F0880">
              <w:rPr>
                <w:rFonts w:cs="Arial"/>
                <w:sz w:val="18"/>
                <w:szCs w:val="18"/>
              </w:rPr>
              <w:t xml:space="preserve">per mmBtu, </w:t>
            </w:r>
            <w:r w:rsidR="009B38BD" w:rsidRPr="003F0880">
              <w:rPr>
                <w:rFonts w:cs="Arial"/>
                <w:sz w:val="18"/>
                <w:szCs w:val="18"/>
              </w:rPr>
              <w:t xml:space="preserve">down </w:t>
            </w:r>
            <w:r w:rsidR="001D7D14" w:rsidRPr="003F0880">
              <w:rPr>
                <w:rFonts w:cs="Arial"/>
                <w:sz w:val="18"/>
                <w:szCs w:val="18"/>
              </w:rPr>
              <w:t>28</w:t>
            </w:r>
            <w:r w:rsidR="00A372BA" w:rsidRPr="003F0880">
              <w:rPr>
                <w:rFonts w:cs="Arial"/>
                <w:sz w:val="18"/>
                <w:szCs w:val="18"/>
              </w:rPr>
              <w:t> per </w:t>
            </w:r>
            <w:r w:rsidR="00DB79BB" w:rsidRPr="003F0880">
              <w:rPr>
                <w:rFonts w:cs="Arial"/>
                <w:sz w:val="18"/>
                <w:szCs w:val="18"/>
              </w:rPr>
              <w:t xml:space="preserve">cent on </w:t>
            </w:r>
            <w:r w:rsidR="001D7D14" w:rsidRPr="003F0880">
              <w:rPr>
                <w:rFonts w:cs="Arial"/>
                <w:sz w:val="18"/>
                <w:szCs w:val="18"/>
              </w:rPr>
              <w:t>August</w:t>
            </w:r>
            <w:r w:rsidR="009A2C8B" w:rsidRPr="003F0880">
              <w:rPr>
                <w:rFonts w:cs="Arial"/>
                <w:sz w:val="18"/>
                <w:szCs w:val="18"/>
              </w:rPr>
              <w:t> 2019</w:t>
            </w:r>
            <w:r w:rsidRPr="003F0880">
              <w:rPr>
                <w:rFonts w:cs="Arial"/>
                <w:sz w:val="18"/>
                <w:szCs w:val="18"/>
              </w:rPr>
              <w:t>.</w:t>
            </w:r>
          </w:p>
          <w:p w14:paraId="00830165" w14:textId="5C0B07D0" w:rsidR="003C6BA8" w:rsidRPr="0067689A" w:rsidRDefault="00E83236" w:rsidP="00A46A7A">
            <w:pPr>
              <w:numPr>
                <w:ilvl w:val="0"/>
                <w:numId w:val="11"/>
              </w:numPr>
              <w:ind w:left="360"/>
              <w:rPr>
                <w:rFonts w:ascii="Calibri Light" w:hAnsi="Calibri Light" w:cs="Segoe UI"/>
                <w:sz w:val="20"/>
                <w:szCs w:val="16"/>
              </w:rPr>
            </w:pPr>
            <w:r w:rsidRPr="000C41D9">
              <w:rPr>
                <w:rFonts w:cs="Arial"/>
                <w:sz w:val="18"/>
                <w:szCs w:val="18"/>
              </w:rPr>
              <w:t xml:space="preserve">The average price of Japan’s LNG imports in </w:t>
            </w:r>
            <w:r w:rsidR="00984F92" w:rsidRPr="000C41D9">
              <w:rPr>
                <w:rFonts w:cs="Arial"/>
                <w:sz w:val="18"/>
                <w:szCs w:val="18"/>
              </w:rPr>
              <w:t>20</w:t>
            </w:r>
            <w:r w:rsidRPr="000C41D9">
              <w:rPr>
                <w:rFonts w:cs="Arial"/>
                <w:sz w:val="18"/>
                <w:szCs w:val="18"/>
              </w:rPr>
              <w:t>1</w:t>
            </w:r>
            <w:r w:rsidR="00AD66DE" w:rsidRPr="000C41D9">
              <w:rPr>
                <w:rFonts w:cs="Arial"/>
                <w:sz w:val="18"/>
                <w:szCs w:val="18"/>
              </w:rPr>
              <w:t>9</w:t>
            </w:r>
            <w:r w:rsidR="00475E21" w:rsidRPr="000C41D9">
              <w:rPr>
                <w:rFonts w:cs="Arial"/>
                <w:sz w:val="18"/>
                <w:szCs w:val="18"/>
              </w:rPr>
              <w:noBreakHyphen/>
              <w:t>20</w:t>
            </w:r>
            <w:r w:rsidRPr="000C41D9">
              <w:rPr>
                <w:rFonts w:cs="Arial"/>
                <w:sz w:val="18"/>
                <w:szCs w:val="18"/>
              </w:rPr>
              <w:t xml:space="preserve"> was US$1</w:t>
            </w:r>
            <w:r w:rsidR="00984F92" w:rsidRPr="000C41D9">
              <w:rPr>
                <w:rFonts w:cs="Arial"/>
                <w:sz w:val="18"/>
                <w:szCs w:val="18"/>
              </w:rPr>
              <w:t>0</w:t>
            </w:r>
            <w:r w:rsidRPr="000C41D9">
              <w:rPr>
                <w:rFonts w:cs="Arial"/>
                <w:sz w:val="18"/>
                <w:szCs w:val="18"/>
              </w:rPr>
              <w:t>.</w:t>
            </w:r>
            <w:r w:rsidR="00A46A7A">
              <w:rPr>
                <w:rFonts w:cs="Arial"/>
                <w:sz w:val="18"/>
                <w:szCs w:val="18"/>
              </w:rPr>
              <w:t>0</w:t>
            </w:r>
            <w:r w:rsidRPr="000C41D9">
              <w:rPr>
                <w:rFonts w:cs="Arial"/>
                <w:sz w:val="18"/>
                <w:szCs w:val="18"/>
              </w:rPr>
              <w:t xml:space="preserve"> per mmBtu, </w:t>
            </w:r>
            <w:r w:rsidR="00984F92" w:rsidRPr="000C41D9">
              <w:rPr>
                <w:rFonts w:cs="Arial"/>
                <w:sz w:val="18"/>
                <w:szCs w:val="18"/>
              </w:rPr>
              <w:t>down</w:t>
            </w:r>
            <w:r w:rsidRPr="000C41D9">
              <w:rPr>
                <w:rFonts w:cs="Arial"/>
                <w:sz w:val="18"/>
                <w:szCs w:val="18"/>
              </w:rPr>
              <w:t xml:space="preserve"> </w:t>
            </w:r>
            <w:r w:rsidR="00A46A7A">
              <w:rPr>
                <w:rFonts w:cs="Arial"/>
                <w:sz w:val="18"/>
                <w:szCs w:val="18"/>
              </w:rPr>
              <w:t>10</w:t>
            </w:r>
            <w:r w:rsidR="00984F92" w:rsidRPr="000C41D9">
              <w:rPr>
                <w:rFonts w:cs="Arial"/>
                <w:sz w:val="18"/>
                <w:szCs w:val="18"/>
              </w:rPr>
              <w:t> per cent on 201</w:t>
            </w:r>
            <w:r w:rsidR="00D60288" w:rsidRPr="000C41D9">
              <w:rPr>
                <w:rFonts w:cs="Arial"/>
                <w:sz w:val="18"/>
                <w:szCs w:val="18"/>
              </w:rPr>
              <w:t>8</w:t>
            </w:r>
            <w:r w:rsidR="00475E21" w:rsidRPr="000C41D9">
              <w:rPr>
                <w:rFonts w:cs="Arial"/>
                <w:sz w:val="18"/>
                <w:szCs w:val="18"/>
              </w:rPr>
              <w:noBreakHyphen/>
              <w:t>19</w:t>
            </w:r>
            <w:r w:rsidRPr="000C41D9">
              <w:rPr>
                <w:rFonts w:cs="Arial"/>
                <w:sz w:val="18"/>
                <w:szCs w:val="18"/>
              </w:rPr>
              <w:t>.</w:t>
            </w:r>
          </w:p>
        </w:tc>
      </w:tr>
      <w:tr w:rsidR="00E83236" w:rsidRPr="007A2E7B" w14:paraId="21D5F09C" w14:textId="77777777" w:rsidTr="001D7D14">
        <w:trPr>
          <w:trHeight w:val="3982"/>
        </w:trPr>
        <w:tc>
          <w:tcPr>
            <w:tcW w:w="3133" w:type="pct"/>
            <w:vAlign w:val="center"/>
          </w:tcPr>
          <w:p w14:paraId="699F0B18" w14:textId="6AEE5B43" w:rsidR="00E83236" w:rsidRPr="00CB24B4" w:rsidRDefault="001D7D14" w:rsidP="00086862">
            <w:pPr>
              <w:tabs>
                <w:tab w:val="left" w:pos="3912"/>
              </w:tabs>
              <w:rPr>
                <w:rFonts w:cs="Arial"/>
                <w:sz w:val="10"/>
                <w:szCs w:val="1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5530198B" wp14:editId="7053E6CB">
                  <wp:extent cx="4093210" cy="2585720"/>
                  <wp:effectExtent l="0" t="0" r="2540" b="5080"/>
                  <wp:docPr id="2" name="Chart 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"/>
                    </a:graphicData>
                  </a:graphic>
                </wp:inline>
              </w:drawing>
            </w:r>
            <w:r w:rsidR="00E83236" w:rsidRPr="00CB24B4">
              <w:rPr>
                <w:rFonts w:cs="Arial"/>
                <w:sz w:val="10"/>
                <w:szCs w:val="10"/>
              </w:rPr>
              <w:t>mmBtu = millions of British thermal units     bbl = barrel</w:t>
            </w:r>
          </w:p>
          <w:p w14:paraId="157992D4" w14:textId="5F12EDF0" w:rsidR="008A6288" w:rsidRPr="008A6288" w:rsidRDefault="00E83236" w:rsidP="00D820B0">
            <w:pPr>
              <w:tabs>
                <w:tab w:val="left" w:pos="3912"/>
              </w:tabs>
              <w:rPr>
                <w:rFonts w:cs="Arial"/>
                <w:sz w:val="10"/>
                <w:szCs w:val="10"/>
              </w:rPr>
            </w:pPr>
            <w:r w:rsidRPr="00CB24B4">
              <w:rPr>
                <w:rFonts w:cs="Arial"/>
                <w:sz w:val="10"/>
                <w:szCs w:val="10"/>
              </w:rPr>
              <w:t>Source: World Bank</w:t>
            </w:r>
          </w:p>
        </w:tc>
        <w:tc>
          <w:tcPr>
            <w:tcW w:w="1867" w:type="pct"/>
            <w:vMerge/>
          </w:tcPr>
          <w:p w14:paraId="74029333" w14:textId="77777777" w:rsidR="00E83236" w:rsidRPr="007A2E7B" w:rsidRDefault="00E83236" w:rsidP="00D820B0">
            <w:pPr>
              <w:pStyle w:val="ListParagraph"/>
              <w:numPr>
                <w:ilvl w:val="1"/>
                <w:numId w:val="12"/>
              </w:numPr>
              <w:ind w:left="459" w:hanging="218"/>
              <w:contextualSpacing w:val="0"/>
              <w:rPr>
                <w:rFonts w:ascii="Calibri Light" w:hAnsi="Calibri Light" w:cs="Segoe UI"/>
                <w:sz w:val="16"/>
                <w:szCs w:val="16"/>
              </w:rPr>
            </w:pPr>
          </w:p>
        </w:tc>
      </w:tr>
    </w:tbl>
    <w:tbl>
      <w:tblPr>
        <w:tblW w:w="10632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0632"/>
      </w:tblGrid>
      <w:tr w:rsidR="00E5003E" w:rsidRPr="00E84F58" w14:paraId="51EE0E3B" w14:textId="77777777" w:rsidTr="00E5003E">
        <w:tc>
          <w:tcPr>
            <w:tcW w:w="106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D402C3D" w14:textId="77777777" w:rsidR="00E5003E" w:rsidRPr="00956FC1" w:rsidRDefault="00E5003E" w:rsidP="00956FC1">
            <w:pPr>
              <w:jc w:val="left"/>
              <w:rPr>
                <w:rFonts w:ascii="Calibri Light" w:hAnsi="Calibri Light" w:cs="Calibri Light"/>
                <w:b/>
                <w:sz w:val="8"/>
                <w:szCs w:val="8"/>
              </w:rPr>
            </w:pPr>
          </w:p>
        </w:tc>
      </w:tr>
      <w:tr w:rsidR="00C03B6D" w:rsidRPr="00E84F58" w14:paraId="1A45612C" w14:textId="77777777" w:rsidTr="00E5003E">
        <w:tc>
          <w:tcPr>
            <w:tcW w:w="10632" w:type="dxa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14:paraId="6A4CAAE7" w14:textId="7D1281B0" w:rsidR="00C03B6D" w:rsidRPr="00E84F58" w:rsidRDefault="00C03B6D" w:rsidP="00C03B6D">
            <w:pPr>
              <w:jc w:val="center"/>
              <w:rPr>
                <w:rFonts w:cs="Arial"/>
                <w:sz w:val="20"/>
                <w:szCs w:val="20"/>
              </w:rPr>
            </w:pPr>
            <w:r w:rsidRPr="00C90210">
              <w:rPr>
                <w:rFonts w:cs="Arial"/>
                <w:b/>
                <w:color w:val="C0504D"/>
                <w:sz w:val="20"/>
                <w:szCs w:val="20"/>
              </w:rPr>
              <w:lastRenderedPageBreak/>
              <w:t>WESTERN AUSTRALIA</w:t>
            </w:r>
            <w:r>
              <w:rPr>
                <w:rFonts w:cs="Arial"/>
                <w:b/>
                <w:color w:val="C0504D"/>
                <w:sz w:val="20"/>
                <w:szCs w:val="20"/>
              </w:rPr>
              <w:t>’S</w:t>
            </w:r>
            <w:r w:rsidRPr="00C90210">
              <w:rPr>
                <w:rFonts w:cs="Arial"/>
                <w:b/>
                <w:color w:val="C0504D"/>
                <w:sz w:val="20"/>
                <w:szCs w:val="20"/>
              </w:rPr>
              <w:t xml:space="preserve"> </w:t>
            </w:r>
            <w:r>
              <w:rPr>
                <w:rFonts w:cs="Arial"/>
                <w:b/>
                <w:color w:val="C0504D"/>
                <w:sz w:val="20"/>
                <w:szCs w:val="20"/>
              </w:rPr>
              <w:t>SUPPLY</w:t>
            </w:r>
          </w:p>
        </w:tc>
      </w:tr>
      <w:tr w:rsidR="00E5003E" w:rsidRPr="00E84F58" w14:paraId="72960638" w14:textId="77777777" w:rsidTr="00E5003E">
        <w:tc>
          <w:tcPr>
            <w:tcW w:w="106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BB7BB38" w14:textId="77777777" w:rsidR="00E5003E" w:rsidRPr="00956FC1" w:rsidRDefault="00E5003E" w:rsidP="00956FC1">
            <w:pPr>
              <w:jc w:val="left"/>
              <w:rPr>
                <w:rFonts w:ascii="Calibri Light" w:hAnsi="Calibri Light" w:cs="Calibri Light"/>
                <w:b/>
                <w:sz w:val="8"/>
                <w:szCs w:val="8"/>
              </w:rPr>
            </w:pPr>
          </w:p>
        </w:tc>
      </w:tr>
    </w:tbl>
    <w:tbl>
      <w:tblPr>
        <w:tblStyle w:val="TableGrid"/>
        <w:tblW w:w="10632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3969"/>
      </w:tblGrid>
      <w:tr w:rsidR="00066A48" w:rsidRPr="00066A48" w14:paraId="2C94E91B" w14:textId="77777777" w:rsidTr="005C2B73">
        <w:trPr>
          <w:trHeight w:val="283"/>
        </w:trPr>
        <w:tc>
          <w:tcPr>
            <w:tcW w:w="6663" w:type="dxa"/>
            <w:shd w:val="clear" w:color="auto" w:fill="C0504D" w:themeFill="accent2"/>
            <w:vAlign w:val="center"/>
          </w:tcPr>
          <w:p w14:paraId="22AADE8A" w14:textId="3CA31424" w:rsidR="00DF5DC1" w:rsidRPr="005C2B73" w:rsidRDefault="00DF5DC1" w:rsidP="00363B7E">
            <w:pPr>
              <w:jc w:val="center"/>
              <w:rPr>
                <w:rFonts w:cs="Arial"/>
                <w:color w:val="C00000"/>
                <w:sz w:val="20"/>
                <w:szCs w:val="20"/>
              </w:rPr>
            </w:pPr>
            <w:r w:rsidRPr="005C2B73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Western Australia’s LNG sales</w:t>
            </w:r>
          </w:p>
        </w:tc>
        <w:tc>
          <w:tcPr>
            <w:tcW w:w="3969" w:type="dxa"/>
            <w:vMerge w:val="restart"/>
          </w:tcPr>
          <w:p w14:paraId="7BCA11CB" w14:textId="77777777" w:rsidR="00D92622" w:rsidRDefault="00D92622" w:rsidP="00D92622">
            <w:pPr>
              <w:ind w:left="360"/>
              <w:rPr>
                <w:rFonts w:cs="Arial"/>
                <w:color w:val="000000" w:themeColor="text1"/>
                <w:sz w:val="18"/>
                <w:szCs w:val="18"/>
              </w:rPr>
            </w:pPr>
          </w:p>
          <w:p w14:paraId="10281E64" w14:textId="1C29059E" w:rsidR="00DF5DC1" w:rsidRPr="003F0880" w:rsidRDefault="00DF5DC1" w:rsidP="005C2B73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3F0880">
              <w:rPr>
                <w:rFonts w:cs="Arial"/>
                <w:sz w:val="18"/>
                <w:szCs w:val="18"/>
              </w:rPr>
              <w:t xml:space="preserve">The volume of Western Australia’s LNG sales rose </w:t>
            </w:r>
            <w:r w:rsidR="001D7D14" w:rsidRPr="003F0880">
              <w:rPr>
                <w:rFonts w:cs="Arial"/>
                <w:sz w:val="18"/>
                <w:szCs w:val="18"/>
              </w:rPr>
              <w:t>8</w:t>
            </w:r>
            <w:r w:rsidRPr="003F0880">
              <w:rPr>
                <w:rFonts w:cs="Arial"/>
                <w:sz w:val="18"/>
                <w:szCs w:val="18"/>
              </w:rPr>
              <w:t xml:space="preserve"> per cent to </w:t>
            </w:r>
            <w:r w:rsidR="00A82C59" w:rsidRPr="003F0880">
              <w:rPr>
                <w:rFonts w:cs="Arial"/>
                <w:sz w:val="18"/>
                <w:szCs w:val="18"/>
              </w:rPr>
              <w:t>4</w:t>
            </w:r>
            <w:r w:rsidR="001D7D14" w:rsidRPr="003F0880">
              <w:rPr>
                <w:rFonts w:cs="Arial"/>
                <w:sz w:val="18"/>
                <w:szCs w:val="18"/>
              </w:rPr>
              <w:t>7</w:t>
            </w:r>
            <w:r w:rsidR="00F56881" w:rsidRPr="003F0880">
              <w:rPr>
                <w:rFonts w:cs="Arial"/>
                <w:sz w:val="18"/>
                <w:szCs w:val="18"/>
              </w:rPr>
              <w:t>.1</w:t>
            </w:r>
            <w:r w:rsidRPr="003F0880">
              <w:rPr>
                <w:rFonts w:cs="Arial"/>
                <w:sz w:val="18"/>
                <w:szCs w:val="18"/>
              </w:rPr>
              <w:t> million tonnes in 20</w:t>
            </w:r>
            <w:r w:rsidR="000D04B1" w:rsidRPr="003F0880">
              <w:rPr>
                <w:rFonts w:cs="Arial"/>
                <w:sz w:val="18"/>
                <w:szCs w:val="18"/>
              </w:rPr>
              <w:t>1</w:t>
            </w:r>
            <w:r w:rsidR="00C822E9" w:rsidRPr="003F0880">
              <w:rPr>
                <w:rFonts w:cs="Arial"/>
                <w:sz w:val="18"/>
                <w:szCs w:val="18"/>
              </w:rPr>
              <w:t>9</w:t>
            </w:r>
            <w:r w:rsidR="001D7D14" w:rsidRPr="003F0880">
              <w:rPr>
                <w:rFonts w:cs="Arial"/>
                <w:sz w:val="18"/>
                <w:szCs w:val="18"/>
              </w:rPr>
              <w:noBreakHyphen/>
              <w:t>20</w:t>
            </w:r>
            <w:r w:rsidR="00FE1A78" w:rsidRPr="003F0880">
              <w:rPr>
                <w:rFonts w:cs="Arial"/>
                <w:sz w:val="18"/>
                <w:szCs w:val="18"/>
              </w:rPr>
              <w:t>.</w:t>
            </w:r>
          </w:p>
          <w:p w14:paraId="7E1880BD" w14:textId="2CC43ED1" w:rsidR="00D820B0" w:rsidRPr="003F0880" w:rsidRDefault="00DF5DC1" w:rsidP="00D820B0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3F0880">
              <w:rPr>
                <w:rFonts w:cs="Arial"/>
                <w:sz w:val="18"/>
                <w:szCs w:val="18"/>
              </w:rPr>
              <w:t xml:space="preserve">The value of Western Australia’s LNG sales </w:t>
            </w:r>
            <w:r w:rsidR="001D7D14" w:rsidRPr="003F0880">
              <w:rPr>
                <w:rFonts w:cs="Arial"/>
                <w:sz w:val="18"/>
                <w:szCs w:val="18"/>
              </w:rPr>
              <w:t>fell</w:t>
            </w:r>
            <w:r w:rsidRPr="003F0880">
              <w:rPr>
                <w:rFonts w:cs="Arial"/>
                <w:sz w:val="18"/>
                <w:szCs w:val="18"/>
              </w:rPr>
              <w:t xml:space="preserve"> </w:t>
            </w:r>
            <w:r w:rsidR="001D7D14" w:rsidRPr="003F0880">
              <w:rPr>
                <w:rFonts w:cs="Arial"/>
                <w:sz w:val="18"/>
                <w:szCs w:val="18"/>
              </w:rPr>
              <w:t>7</w:t>
            </w:r>
            <w:r w:rsidRPr="003F0880">
              <w:rPr>
                <w:rFonts w:cs="Arial"/>
                <w:sz w:val="18"/>
                <w:szCs w:val="18"/>
              </w:rPr>
              <w:t> per cent to $</w:t>
            </w:r>
            <w:r w:rsidR="00715414" w:rsidRPr="003F0880">
              <w:rPr>
                <w:rFonts w:cs="Arial"/>
                <w:sz w:val="18"/>
                <w:szCs w:val="18"/>
              </w:rPr>
              <w:t>2</w:t>
            </w:r>
            <w:r w:rsidR="00F56881" w:rsidRPr="003F0880">
              <w:rPr>
                <w:rFonts w:cs="Arial"/>
                <w:sz w:val="18"/>
                <w:szCs w:val="18"/>
              </w:rPr>
              <w:t>7.</w:t>
            </w:r>
            <w:r w:rsidR="001D7D14" w:rsidRPr="003F0880">
              <w:rPr>
                <w:rFonts w:cs="Arial"/>
                <w:sz w:val="18"/>
                <w:szCs w:val="18"/>
              </w:rPr>
              <w:t>1</w:t>
            </w:r>
            <w:r w:rsidRPr="003F0880">
              <w:rPr>
                <w:rFonts w:cs="Arial"/>
                <w:sz w:val="18"/>
                <w:szCs w:val="18"/>
              </w:rPr>
              <w:t> billion in 20</w:t>
            </w:r>
            <w:r w:rsidR="000D04B1" w:rsidRPr="003F0880">
              <w:rPr>
                <w:rFonts w:cs="Arial"/>
                <w:sz w:val="18"/>
                <w:szCs w:val="18"/>
              </w:rPr>
              <w:t>1</w:t>
            </w:r>
            <w:r w:rsidR="00F56881" w:rsidRPr="003F0880">
              <w:rPr>
                <w:rFonts w:cs="Arial"/>
                <w:sz w:val="18"/>
                <w:szCs w:val="18"/>
              </w:rPr>
              <w:t>9</w:t>
            </w:r>
            <w:r w:rsidR="001D7D14" w:rsidRPr="003F0880">
              <w:rPr>
                <w:rFonts w:cs="Arial"/>
                <w:sz w:val="18"/>
                <w:szCs w:val="18"/>
              </w:rPr>
              <w:noBreakHyphen/>
              <w:t>20</w:t>
            </w:r>
            <w:r w:rsidRPr="003F0880">
              <w:rPr>
                <w:rFonts w:cs="Arial"/>
                <w:sz w:val="18"/>
                <w:szCs w:val="18"/>
              </w:rPr>
              <w:t>.</w:t>
            </w:r>
          </w:p>
          <w:p w14:paraId="64E0F6E4" w14:textId="5CE3F1C1" w:rsidR="00D820B0" w:rsidRPr="003F0880" w:rsidRDefault="00D820B0" w:rsidP="004D2274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3F0880">
              <w:rPr>
                <w:rFonts w:cs="Arial"/>
                <w:sz w:val="18"/>
                <w:szCs w:val="18"/>
              </w:rPr>
              <w:t>In 201</w:t>
            </w:r>
            <w:r w:rsidR="00C822E9" w:rsidRPr="003F0880">
              <w:rPr>
                <w:rFonts w:cs="Arial"/>
                <w:sz w:val="18"/>
                <w:szCs w:val="18"/>
              </w:rPr>
              <w:t>9</w:t>
            </w:r>
            <w:r w:rsidR="001D7D14" w:rsidRPr="003F0880">
              <w:rPr>
                <w:rFonts w:cs="Arial"/>
                <w:sz w:val="18"/>
                <w:szCs w:val="18"/>
              </w:rPr>
              <w:noBreakHyphen/>
              <w:t>20</w:t>
            </w:r>
            <w:r w:rsidRPr="003F0880">
              <w:rPr>
                <w:rFonts w:cs="Arial"/>
                <w:sz w:val="18"/>
                <w:szCs w:val="18"/>
              </w:rPr>
              <w:t xml:space="preserve">, </w:t>
            </w:r>
            <w:r w:rsidR="001660EA" w:rsidRPr="003F0880">
              <w:rPr>
                <w:rFonts w:cs="Arial"/>
                <w:sz w:val="18"/>
                <w:szCs w:val="18"/>
              </w:rPr>
              <w:t>LNG accounted for</w:t>
            </w:r>
            <w:r w:rsidR="004D2274" w:rsidRPr="003F0880">
              <w:rPr>
                <w:rFonts w:cs="Arial"/>
                <w:sz w:val="18"/>
                <w:szCs w:val="18"/>
              </w:rPr>
              <w:t xml:space="preserve"> </w:t>
            </w:r>
            <w:r w:rsidR="00F56881" w:rsidRPr="003F0880">
              <w:rPr>
                <w:rFonts w:cs="Arial"/>
                <w:sz w:val="18"/>
                <w:szCs w:val="18"/>
              </w:rPr>
              <w:t>16</w:t>
            </w:r>
            <w:r w:rsidR="001660EA" w:rsidRPr="003F0880">
              <w:rPr>
                <w:rFonts w:cs="Arial"/>
                <w:sz w:val="18"/>
                <w:szCs w:val="18"/>
              </w:rPr>
              <w:t> per </w:t>
            </w:r>
            <w:r w:rsidR="00E15F96" w:rsidRPr="003F0880">
              <w:rPr>
                <w:rFonts w:cs="Arial"/>
                <w:sz w:val="18"/>
                <w:szCs w:val="18"/>
              </w:rPr>
              <w:t xml:space="preserve">cent of </w:t>
            </w:r>
            <w:r w:rsidR="00D92622" w:rsidRPr="003F0880">
              <w:rPr>
                <w:rFonts w:cs="Arial"/>
                <w:sz w:val="18"/>
                <w:szCs w:val="18"/>
              </w:rPr>
              <w:t>Western Australia</w:t>
            </w:r>
            <w:r w:rsidR="00E15F96" w:rsidRPr="003F0880">
              <w:rPr>
                <w:rFonts w:cs="Arial"/>
                <w:sz w:val="18"/>
                <w:szCs w:val="18"/>
              </w:rPr>
              <w:t>’</w:t>
            </w:r>
            <w:r w:rsidR="001660EA" w:rsidRPr="003F0880">
              <w:rPr>
                <w:rFonts w:cs="Arial"/>
                <w:sz w:val="18"/>
                <w:szCs w:val="18"/>
              </w:rPr>
              <w:t xml:space="preserve">s total </w:t>
            </w:r>
            <w:r w:rsidR="004D2274" w:rsidRPr="003F0880">
              <w:rPr>
                <w:rFonts w:cs="Arial"/>
                <w:sz w:val="18"/>
                <w:szCs w:val="18"/>
              </w:rPr>
              <w:t xml:space="preserve">minerals and petroleum </w:t>
            </w:r>
            <w:r w:rsidR="001660EA" w:rsidRPr="003F0880">
              <w:rPr>
                <w:rFonts w:cs="Arial"/>
                <w:sz w:val="18"/>
                <w:szCs w:val="18"/>
              </w:rPr>
              <w:t>sales ($1</w:t>
            </w:r>
            <w:r w:rsidR="001D7D14" w:rsidRPr="003F0880">
              <w:rPr>
                <w:rFonts w:cs="Arial"/>
                <w:sz w:val="18"/>
                <w:szCs w:val="18"/>
              </w:rPr>
              <w:t>71.6</w:t>
            </w:r>
            <w:r w:rsidR="001660EA" w:rsidRPr="003F0880">
              <w:rPr>
                <w:rFonts w:cs="Arial"/>
                <w:sz w:val="18"/>
                <w:szCs w:val="18"/>
              </w:rPr>
              <w:t> </w:t>
            </w:r>
            <w:r w:rsidR="00E15F96" w:rsidRPr="003F0880">
              <w:rPr>
                <w:rFonts w:cs="Arial"/>
                <w:sz w:val="18"/>
                <w:szCs w:val="18"/>
              </w:rPr>
              <w:t>billon)</w:t>
            </w:r>
            <w:r w:rsidR="004D2274" w:rsidRPr="003F0880">
              <w:rPr>
                <w:rFonts w:cs="Arial"/>
                <w:sz w:val="18"/>
                <w:szCs w:val="18"/>
              </w:rPr>
              <w:t>.</w:t>
            </w:r>
          </w:p>
          <w:p w14:paraId="605A134A" w14:textId="77777777" w:rsidR="00D820B0" w:rsidRPr="00F27749" w:rsidRDefault="000A4DA6" w:rsidP="00AA482F">
            <w:pPr>
              <w:numPr>
                <w:ilvl w:val="0"/>
                <w:numId w:val="11"/>
              </w:numPr>
              <w:ind w:left="360"/>
              <w:rPr>
                <w:rFonts w:ascii="Calibri Light" w:hAnsi="Calibri Light" w:cs="Segoe UI"/>
                <w:color w:val="000000" w:themeColor="text1"/>
                <w:sz w:val="20"/>
                <w:szCs w:val="20"/>
              </w:rPr>
            </w:pPr>
            <w:r w:rsidRPr="00F27749">
              <w:rPr>
                <w:rFonts w:cs="Arial"/>
                <w:color w:val="000000" w:themeColor="text1"/>
                <w:sz w:val="18"/>
                <w:szCs w:val="18"/>
              </w:rPr>
              <w:t xml:space="preserve">Western Australia’s </w:t>
            </w:r>
            <w:r w:rsidR="00EA0236" w:rsidRPr="00F27749">
              <w:rPr>
                <w:rFonts w:cs="Arial"/>
                <w:color w:val="000000" w:themeColor="text1"/>
                <w:sz w:val="18"/>
                <w:szCs w:val="18"/>
              </w:rPr>
              <w:t xml:space="preserve">LNG </w:t>
            </w:r>
            <w:r w:rsidRPr="00F27749">
              <w:rPr>
                <w:rFonts w:cs="Arial"/>
                <w:color w:val="000000" w:themeColor="text1"/>
                <w:sz w:val="18"/>
                <w:szCs w:val="18"/>
              </w:rPr>
              <w:t xml:space="preserve">projects </w:t>
            </w:r>
            <w:r w:rsidR="00C44B22" w:rsidRPr="00F27749">
              <w:rPr>
                <w:rFonts w:cs="Arial"/>
                <w:color w:val="000000" w:themeColor="text1"/>
                <w:sz w:val="18"/>
                <w:szCs w:val="18"/>
              </w:rPr>
              <w:t>also produce condensate</w:t>
            </w:r>
            <w:r w:rsidR="00D92622" w:rsidRPr="00F27749">
              <w:rPr>
                <w:rFonts w:cs="Arial"/>
                <w:color w:val="000000" w:themeColor="text1"/>
                <w:sz w:val="18"/>
                <w:szCs w:val="18"/>
              </w:rPr>
              <w:t xml:space="preserve"> and</w:t>
            </w:r>
            <w:r w:rsidR="00C44B22" w:rsidRPr="00F27749">
              <w:rPr>
                <w:rFonts w:cs="Arial"/>
                <w:color w:val="000000" w:themeColor="text1"/>
                <w:sz w:val="18"/>
                <w:szCs w:val="18"/>
              </w:rPr>
              <w:t xml:space="preserve"> </w:t>
            </w:r>
            <w:r w:rsidRPr="00F27749">
              <w:rPr>
                <w:rFonts w:cs="Arial"/>
                <w:color w:val="000000" w:themeColor="text1"/>
                <w:sz w:val="18"/>
                <w:szCs w:val="18"/>
              </w:rPr>
              <w:t>liquefied petroleum gas (</w:t>
            </w:r>
            <w:r w:rsidR="00C44B22" w:rsidRPr="00F27749">
              <w:rPr>
                <w:rFonts w:cs="Arial"/>
                <w:color w:val="000000" w:themeColor="text1"/>
                <w:sz w:val="18"/>
                <w:szCs w:val="18"/>
              </w:rPr>
              <w:t>LPG</w:t>
            </w:r>
            <w:r w:rsidRPr="00F27749">
              <w:rPr>
                <w:rFonts w:cs="Arial"/>
                <w:color w:val="000000" w:themeColor="text1"/>
                <w:sz w:val="18"/>
                <w:szCs w:val="18"/>
              </w:rPr>
              <w:t>)</w:t>
            </w:r>
            <w:r w:rsidR="00D92622" w:rsidRPr="00F27749">
              <w:rPr>
                <w:rFonts w:cs="Arial"/>
                <w:color w:val="000000" w:themeColor="text1"/>
                <w:sz w:val="18"/>
                <w:szCs w:val="18"/>
              </w:rPr>
              <w:t>, mostly for export markets.</w:t>
            </w:r>
          </w:p>
          <w:p w14:paraId="6D1A7F5C" w14:textId="4CEF0F86" w:rsidR="00AA482F" w:rsidRPr="00066A48" w:rsidRDefault="00AA482F" w:rsidP="00AA482F">
            <w:pPr>
              <w:numPr>
                <w:ilvl w:val="0"/>
                <w:numId w:val="11"/>
              </w:numPr>
              <w:ind w:left="360"/>
              <w:rPr>
                <w:rFonts w:ascii="Calibri Light" w:hAnsi="Calibri Light" w:cs="Segoe UI"/>
                <w:color w:val="000000" w:themeColor="text1"/>
                <w:sz w:val="20"/>
                <w:szCs w:val="20"/>
              </w:rPr>
            </w:pPr>
            <w:r w:rsidRPr="00F27749">
              <w:rPr>
                <w:rFonts w:cs="Arial"/>
                <w:color w:val="000000" w:themeColor="text1"/>
                <w:sz w:val="18"/>
                <w:szCs w:val="18"/>
              </w:rPr>
              <w:t>Western Australia’s LNG projects also supply the majority of Western Australia’s domestic gas.</w:t>
            </w:r>
          </w:p>
        </w:tc>
      </w:tr>
      <w:tr w:rsidR="00066A48" w:rsidRPr="00066A48" w14:paraId="2AFA3C87" w14:textId="77777777" w:rsidTr="001D7D14">
        <w:trPr>
          <w:trHeight w:val="3796"/>
        </w:trPr>
        <w:tc>
          <w:tcPr>
            <w:tcW w:w="6663" w:type="dxa"/>
            <w:vAlign w:val="center"/>
          </w:tcPr>
          <w:p w14:paraId="67BF6DE0" w14:textId="1AA05A9B" w:rsidR="00DF5DC1" w:rsidRPr="007A2E7B" w:rsidRDefault="001D7D14" w:rsidP="00DF5DC1">
            <w:pPr>
              <w:jc w:val="left"/>
              <w:rPr>
                <w:rFonts w:ascii="Calibri Light" w:hAnsi="Calibri Light" w:cs="Segoe UI"/>
                <w:i/>
                <w:sz w:val="12"/>
                <w:szCs w:val="16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14C0A1A9" wp14:editId="319DB13F">
                  <wp:extent cx="4093845" cy="2265045"/>
                  <wp:effectExtent l="0" t="0" r="1905" b="1905"/>
                  <wp:docPr id="5" name="Chart 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7"/>
                    </a:graphicData>
                  </a:graphic>
                </wp:inline>
              </w:drawing>
            </w:r>
          </w:p>
          <w:p w14:paraId="35E705A3" w14:textId="40B4658B" w:rsidR="00DF5DC1" w:rsidRPr="005C2B73" w:rsidRDefault="00DF5DC1" w:rsidP="00DF5DC1">
            <w:pPr>
              <w:jc w:val="left"/>
              <w:rPr>
                <w:rFonts w:cs="Arial"/>
                <w:i/>
                <w:sz w:val="10"/>
                <w:szCs w:val="10"/>
              </w:rPr>
            </w:pPr>
            <w:r w:rsidRPr="005C2B73">
              <w:rPr>
                <w:rFonts w:cs="Arial"/>
                <w:sz w:val="10"/>
                <w:szCs w:val="10"/>
              </w:rPr>
              <w:t>^</w:t>
            </w:r>
            <w:r w:rsidR="00C822E9">
              <w:rPr>
                <w:rFonts w:cs="Arial"/>
                <w:sz w:val="10"/>
                <w:szCs w:val="10"/>
              </w:rPr>
              <w:t xml:space="preserve"> Other petroleum sales include condensate, c</w:t>
            </w:r>
            <w:r w:rsidRPr="005C2B73">
              <w:rPr>
                <w:rFonts w:cs="Arial"/>
                <w:sz w:val="10"/>
                <w:szCs w:val="10"/>
              </w:rPr>
              <w:t xml:space="preserve">rude </w:t>
            </w:r>
            <w:r w:rsidR="00C822E9">
              <w:rPr>
                <w:rFonts w:cs="Arial"/>
                <w:sz w:val="10"/>
                <w:szCs w:val="10"/>
              </w:rPr>
              <w:t>o</w:t>
            </w:r>
            <w:r w:rsidRPr="005C2B73">
              <w:rPr>
                <w:rFonts w:cs="Arial"/>
                <w:sz w:val="10"/>
                <w:szCs w:val="10"/>
              </w:rPr>
              <w:t>il, LPG and domestic gas.</w:t>
            </w:r>
          </w:p>
          <w:p w14:paraId="462CBB16" w14:textId="2E5AF8FC" w:rsidR="00DF5DC1" w:rsidRDefault="00DF5DC1" w:rsidP="00DF5DC1">
            <w:pPr>
              <w:jc w:val="left"/>
              <w:rPr>
                <w:rFonts w:cs="Arial"/>
                <w:i/>
                <w:sz w:val="10"/>
                <w:szCs w:val="10"/>
              </w:rPr>
            </w:pPr>
            <w:r w:rsidRPr="005C2B73">
              <w:rPr>
                <w:rFonts w:cs="Arial"/>
                <w:i/>
                <w:sz w:val="10"/>
                <w:szCs w:val="10"/>
              </w:rPr>
              <w:t>Source: WA Department of Mines, Industry Regulation and Safety.</w:t>
            </w:r>
          </w:p>
          <w:p w14:paraId="7AD02131" w14:textId="410DB6DB" w:rsidR="00E5003E" w:rsidRPr="00E5003E" w:rsidRDefault="00E5003E" w:rsidP="00DF5DC1">
            <w:pPr>
              <w:jc w:val="left"/>
              <w:rPr>
                <w:rFonts w:ascii="Calibri Light" w:hAnsi="Calibri Light" w:cs="Segoe UI"/>
                <w:sz w:val="8"/>
                <w:szCs w:val="8"/>
              </w:rPr>
            </w:pPr>
          </w:p>
        </w:tc>
        <w:tc>
          <w:tcPr>
            <w:tcW w:w="3969" w:type="dxa"/>
            <w:vMerge/>
          </w:tcPr>
          <w:p w14:paraId="1D9652FC" w14:textId="77777777" w:rsidR="00DF5DC1" w:rsidRPr="00066A48" w:rsidRDefault="00DF5DC1" w:rsidP="00DF5DC1">
            <w:pPr>
              <w:rPr>
                <w:rFonts w:ascii="Calibri Light" w:hAnsi="Calibri Light" w:cs="Segoe UI"/>
                <w:color w:val="000000" w:themeColor="text1"/>
                <w:sz w:val="16"/>
                <w:szCs w:val="16"/>
              </w:rPr>
            </w:pPr>
          </w:p>
        </w:tc>
      </w:tr>
      <w:tr w:rsidR="00DF5DC1" w:rsidRPr="00F645D6" w14:paraId="5FAD3109" w14:textId="77777777" w:rsidTr="001660EA">
        <w:trPr>
          <w:trHeight w:val="283"/>
        </w:trPr>
        <w:tc>
          <w:tcPr>
            <w:tcW w:w="6663" w:type="dxa"/>
            <w:shd w:val="clear" w:color="auto" w:fill="C0504D" w:themeFill="accent2"/>
            <w:vAlign w:val="center"/>
          </w:tcPr>
          <w:p w14:paraId="71CAC916" w14:textId="0CF0A2FF" w:rsidR="00DF5DC1" w:rsidRPr="001660EA" w:rsidRDefault="00DF5DC1" w:rsidP="00E71E1B">
            <w:pPr>
              <w:jc w:val="center"/>
              <w:rPr>
                <w:rFonts w:cs="Arial"/>
                <w:sz w:val="20"/>
                <w:szCs w:val="20"/>
              </w:rPr>
            </w:pPr>
            <w:r w:rsidRPr="001660EA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WA’s LNG sales by destination</w:t>
            </w:r>
          </w:p>
        </w:tc>
        <w:tc>
          <w:tcPr>
            <w:tcW w:w="3969" w:type="dxa"/>
            <w:vMerge w:val="restart"/>
          </w:tcPr>
          <w:p w14:paraId="2F2DBA04" w14:textId="19A713E4" w:rsidR="00D820B0" w:rsidRPr="00FE426F" w:rsidRDefault="00DF5DC1" w:rsidP="001660EA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A544A8">
              <w:rPr>
                <w:rFonts w:cs="Arial"/>
                <w:sz w:val="18"/>
                <w:szCs w:val="18"/>
              </w:rPr>
              <w:t xml:space="preserve">Japan was Western Australia’s first LNG customer in 1989 and </w:t>
            </w:r>
            <w:r w:rsidR="00503202" w:rsidRPr="00A544A8">
              <w:rPr>
                <w:rFonts w:cs="Arial"/>
                <w:sz w:val="18"/>
                <w:szCs w:val="18"/>
              </w:rPr>
              <w:t>remain</w:t>
            </w:r>
            <w:r w:rsidR="00D820B0" w:rsidRPr="00A544A8">
              <w:rPr>
                <w:rFonts w:cs="Arial"/>
                <w:sz w:val="18"/>
                <w:szCs w:val="18"/>
              </w:rPr>
              <w:t>s</w:t>
            </w:r>
            <w:r w:rsidR="00503202" w:rsidRPr="00A544A8">
              <w:rPr>
                <w:rFonts w:cs="Arial"/>
                <w:sz w:val="18"/>
                <w:szCs w:val="18"/>
              </w:rPr>
              <w:t xml:space="preserve"> </w:t>
            </w:r>
            <w:r w:rsidRPr="00A544A8">
              <w:rPr>
                <w:rFonts w:cs="Arial"/>
                <w:sz w:val="18"/>
                <w:szCs w:val="18"/>
              </w:rPr>
              <w:t>the State’s largest customer</w:t>
            </w:r>
            <w:r w:rsidR="00D820B0" w:rsidRPr="00A544A8">
              <w:rPr>
                <w:rFonts w:cs="Arial"/>
                <w:sz w:val="18"/>
                <w:szCs w:val="18"/>
              </w:rPr>
              <w:t>.</w:t>
            </w:r>
            <w:r w:rsidR="008C03C5" w:rsidRPr="00A544A8">
              <w:rPr>
                <w:rFonts w:cs="Arial"/>
                <w:sz w:val="18"/>
                <w:szCs w:val="18"/>
              </w:rPr>
              <w:t xml:space="preserve"> Western Australia </w:t>
            </w:r>
            <w:r w:rsidR="008C03C5" w:rsidRPr="00FE426F">
              <w:rPr>
                <w:rFonts w:cs="Arial"/>
                <w:sz w:val="18"/>
                <w:szCs w:val="18"/>
              </w:rPr>
              <w:t xml:space="preserve">accounted for </w:t>
            </w:r>
            <w:r w:rsidR="00AD30C0" w:rsidRPr="00FE426F">
              <w:rPr>
                <w:rFonts w:cs="Arial"/>
                <w:sz w:val="18"/>
                <w:szCs w:val="18"/>
              </w:rPr>
              <w:t>29</w:t>
            </w:r>
            <w:r w:rsidR="008C03C5" w:rsidRPr="00FE426F">
              <w:rPr>
                <w:rFonts w:cs="Arial"/>
                <w:sz w:val="18"/>
                <w:szCs w:val="18"/>
              </w:rPr>
              <w:t> per cen</w:t>
            </w:r>
            <w:r w:rsidR="00AD30C0" w:rsidRPr="00FE426F">
              <w:rPr>
                <w:rFonts w:cs="Arial"/>
                <w:sz w:val="18"/>
                <w:szCs w:val="18"/>
              </w:rPr>
              <w:t>t of Japan’s LNG imports in 2019</w:t>
            </w:r>
            <w:r w:rsidR="008C03C5" w:rsidRPr="00FE426F">
              <w:rPr>
                <w:rFonts w:cs="Arial"/>
                <w:sz w:val="18"/>
                <w:szCs w:val="18"/>
              </w:rPr>
              <w:t>.</w:t>
            </w:r>
          </w:p>
          <w:p w14:paraId="12E9F9B6" w14:textId="6A87E8BA" w:rsidR="00D820B0" w:rsidRPr="00FE426F" w:rsidRDefault="00D820B0" w:rsidP="00D820B0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FE426F">
              <w:rPr>
                <w:rFonts w:cs="Arial"/>
                <w:sz w:val="18"/>
                <w:szCs w:val="18"/>
              </w:rPr>
              <w:t>In 2006, Western Australia became the first jurisdiction in the world to export LNG to China via the North West Shelf’s sales contract with Guangdong Dapeng LNG.</w:t>
            </w:r>
            <w:r w:rsidR="008C03C5" w:rsidRPr="00FE426F">
              <w:rPr>
                <w:rFonts w:cs="Arial"/>
                <w:sz w:val="18"/>
                <w:szCs w:val="18"/>
              </w:rPr>
              <w:t xml:space="preserve"> Western Australia accounted for </w:t>
            </w:r>
            <w:r w:rsidR="00B37647" w:rsidRPr="00FE426F">
              <w:rPr>
                <w:rFonts w:cs="Arial"/>
                <w:sz w:val="18"/>
                <w:szCs w:val="18"/>
              </w:rPr>
              <w:t xml:space="preserve">around </w:t>
            </w:r>
            <w:r w:rsidR="00EB6759" w:rsidRPr="00FE426F">
              <w:rPr>
                <w:rFonts w:cs="Arial"/>
                <w:sz w:val="18"/>
                <w:szCs w:val="18"/>
              </w:rPr>
              <w:t>20</w:t>
            </w:r>
            <w:r w:rsidR="008C03C5" w:rsidRPr="00FE426F">
              <w:rPr>
                <w:rFonts w:cs="Arial"/>
                <w:sz w:val="18"/>
                <w:szCs w:val="18"/>
              </w:rPr>
              <w:t> per cent of China’s LNG imports in 201</w:t>
            </w:r>
            <w:r w:rsidR="00EB6759" w:rsidRPr="00FE426F">
              <w:rPr>
                <w:rFonts w:cs="Arial"/>
                <w:sz w:val="18"/>
                <w:szCs w:val="18"/>
              </w:rPr>
              <w:t>9</w:t>
            </w:r>
            <w:r w:rsidR="008C03C5" w:rsidRPr="00FE426F">
              <w:rPr>
                <w:rFonts w:cs="Arial"/>
                <w:sz w:val="18"/>
                <w:szCs w:val="18"/>
              </w:rPr>
              <w:t>.</w:t>
            </w:r>
          </w:p>
          <w:p w14:paraId="7A25904D" w14:textId="36F0812F" w:rsidR="00DF5DC1" w:rsidRPr="000C41D9" w:rsidRDefault="00172A59" w:rsidP="001660EA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0C41D9">
              <w:rPr>
                <w:rFonts w:cs="Arial"/>
                <w:sz w:val="18"/>
                <w:szCs w:val="18"/>
              </w:rPr>
              <w:t>Of Western Austr</w:t>
            </w:r>
            <w:r w:rsidR="00B25E94" w:rsidRPr="000C41D9">
              <w:rPr>
                <w:rFonts w:cs="Arial"/>
                <w:sz w:val="18"/>
                <w:szCs w:val="18"/>
              </w:rPr>
              <w:t>alia’s total LNG exports in 20</w:t>
            </w:r>
            <w:r w:rsidR="007C2F6F" w:rsidRPr="000C41D9">
              <w:rPr>
                <w:rFonts w:cs="Arial"/>
                <w:sz w:val="18"/>
                <w:szCs w:val="18"/>
              </w:rPr>
              <w:t>19</w:t>
            </w:r>
            <w:r w:rsidR="000D6AF9" w:rsidRPr="000C41D9">
              <w:rPr>
                <w:rFonts w:cs="Arial"/>
                <w:sz w:val="18"/>
                <w:szCs w:val="18"/>
              </w:rPr>
              <w:noBreakHyphen/>
              <w:t>20</w:t>
            </w:r>
            <w:r w:rsidRPr="000C41D9">
              <w:rPr>
                <w:rFonts w:cs="Arial"/>
                <w:sz w:val="18"/>
                <w:szCs w:val="18"/>
              </w:rPr>
              <w:t>:</w:t>
            </w:r>
          </w:p>
          <w:p w14:paraId="0E1DDDC6" w14:textId="1F3675EB" w:rsidR="00DF5DC1" w:rsidRPr="000C41D9" w:rsidRDefault="001B06CB" w:rsidP="001660EA">
            <w:pPr>
              <w:numPr>
                <w:ilvl w:val="0"/>
                <w:numId w:val="15"/>
              </w:numPr>
              <w:rPr>
                <w:rFonts w:cs="Arial"/>
                <w:sz w:val="18"/>
                <w:szCs w:val="18"/>
              </w:rPr>
            </w:pPr>
            <w:r w:rsidRPr="000C41D9">
              <w:rPr>
                <w:rFonts w:cs="Arial"/>
                <w:sz w:val="18"/>
                <w:szCs w:val="18"/>
              </w:rPr>
              <w:t xml:space="preserve">Japan accounted for </w:t>
            </w:r>
            <w:r w:rsidR="000D6AF9" w:rsidRPr="000C41D9">
              <w:rPr>
                <w:rFonts w:cs="Arial"/>
                <w:sz w:val="18"/>
                <w:szCs w:val="18"/>
              </w:rPr>
              <w:t>48</w:t>
            </w:r>
            <w:r w:rsidR="00D820B0" w:rsidRPr="000C41D9">
              <w:rPr>
                <w:rFonts w:cs="Arial"/>
                <w:sz w:val="18"/>
                <w:szCs w:val="18"/>
              </w:rPr>
              <w:t> per cent</w:t>
            </w:r>
          </w:p>
          <w:p w14:paraId="2AD1BBE3" w14:textId="77E02FB0" w:rsidR="00DF5DC1" w:rsidRPr="000C41D9" w:rsidRDefault="00DF5DC1" w:rsidP="001660EA">
            <w:pPr>
              <w:numPr>
                <w:ilvl w:val="0"/>
                <w:numId w:val="15"/>
              </w:numPr>
              <w:rPr>
                <w:rFonts w:cs="Arial"/>
                <w:sz w:val="18"/>
                <w:szCs w:val="18"/>
              </w:rPr>
            </w:pPr>
            <w:r w:rsidRPr="000C41D9">
              <w:rPr>
                <w:rFonts w:cs="Arial"/>
                <w:sz w:val="18"/>
                <w:szCs w:val="18"/>
              </w:rPr>
              <w:t xml:space="preserve">China accounted for </w:t>
            </w:r>
            <w:r w:rsidR="00C27675" w:rsidRPr="000C41D9">
              <w:rPr>
                <w:rFonts w:cs="Arial"/>
                <w:sz w:val="18"/>
                <w:szCs w:val="18"/>
              </w:rPr>
              <w:t>2</w:t>
            </w:r>
            <w:r w:rsidR="000D6AF9" w:rsidRPr="000C41D9">
              <w:rPr>
                <w:rFonts w:cs="Arial"/>
                <w:sz w:val="18"/>
                <w:szCs w:val="18"/>
              </w:rPr>
              <w:t>9</w:t>
            </w:r>
            <w:r w:rsidR="00D820B0" w:rsidRPr="000C41D9">
              <w:rPr>
                <w:rFonts w:cs="Arial"/>
                <w:sz w:val="18"/>
                <w:szCs w:val="18"/>
              </w:rPr>
              <w:t> per cent</w:t>
            </w:r>
          </w:p>
          <w:p w14:paraId="4B21CDD4" w14:textId="03DAE7FD" w:rsidR="00DF5DC1" w:rsidRPr="000C41D9" w:rsidRDefault="00DF5DC1" w:rsidP="001660EA">
            <w:pPr>
              <w:numPr>
                <w:ilvl w:val="0"/>
                <w:numId w:val="15"/>
              </w:numPr>
              <w:rPr>
                <w:rFonts w:cs="Arial"/>
                <w:sz w:val="18"/>
                <w:szCs w:val="18"/>
              </w:rPr>
            </w:pPr>
            <w:r w:rsidRPr="000C41D9">
              <w:rPr>
                <w:rFonts w:cs="Arial"/>
                <w:sz w:val="18"/>
                <w:szCs w:val="18"/>
              </w:rPr>
              <w:t xml:space="preserve">South Korea accounted for </w:t>
            </w:r>
            <w:r w:rsidR="008D02C9" w:rsidRPr="000C41D9">
              <w:rPr>
                <w:rFonts w:cs="Arial"/>
                <w:sz w:val="18"/>
                <w:szCs w:val="18"/>
              </w:rPr>
              <w:t>10</w:t>
            </w:r>
            <w:r w:rsidR="00D820B0" w:rsidRPr="000C41D9">
              <w:rPr>
                <w:rFonts w:cs="Arial"/>
                <w:sz w:val="18"/>
                <w:szCs w:val="18"/>
              </w:rPr>
              <w:t> per cent</w:t>
            </w:r>
          </w:p>
          <w:p w14:paraId="447549E6" w14:textId="30F0B065" w:rsidR="00AA6FA4" w:rsidRPr="000C41D9" w:rsidRDefault="00CE7F0F" w:rsidP="00A5560C">
            <w:pPr>
              <w:numPr>
                <w:ilvl w:val="0"/>
                <w:numId w:val="15"/>
              </w:numPr>
              <w:rPr>
                <w:rFonts w:cs="Arial"/>
                <w:sz w:val="18"/>
                <w:szCs w:val="18"/>
              </w:rPr>
            </w:pPr>
            <w:r w:rsidRPr="000C41D9">
              <w:rPr>
                <w:rFonts w:cs="Arial"/>
                <w:sz w:val="18"/>
                <w:szCs w:val="18"/>
              </w:rPr>
              <w:t>Taiwan</w:t>
            </w:r>
            <w:r w:rsidR="007C2F6F" w:rsidRPr="000C41D9">
              <w:rPr>
                <w:rFonts w:cs="Arial"/>
                <w:sz w:val="18"/>
                <w:szCs w:val="18"/>
              </w:rPr>
              <w:t xml:space="preserve"> accounted for </w:t>
            </w:r>
            <w:r w:rsidR="009F0F7B" w:rsidRPr="000C41D9">
              <w:rPr>
                <w:rFonts w:cs="Arial"/>
                <w:sz w:val="18"/>
                <w:szCs w:val="18"/>
              </w:rPr>
              <w:t>5</w:t>
            </w:r>
            <w:r w:rsidR="00D820B0" w:rsidRPr="000C41D9">
              <w:rPr>
                <w:rFonts w:cs="Arial"/>
                <w:sz w:val="18"/>
                <w:szCs w:val="18"/>
              </w:rPr>
              <w:t> per cent</w:t>
            </w:r>
          </w:p>
          <w:p w14:paraId="07773C43" w14:textId="257FE496" w:rsidR="009F0F7B" w:rsidRPr="000C41D9" w:rsidRDefault="000D6AF9" w:rsidP="001660EA">
            <w:pPr>
              <w:numPr>
                <w:ilvl w:val="0"/>
                <w:numId w:val="15"/>
              </w:numPr>
              <w:rPr>
                <w:rFonts w:ascii="Calibri Light" w:hAnsi="Calibri Light" w:cs="Segoe UI"/>
                <w:sz w:val="20"/>
                <w:szCs w:val="20"/>
              </w:rPr>
            </w:pPr>
            <w:r w:rsidRPr="000C41D9">
              <w:rPr>
                <w:rFonts w:cs="Arial"/>
                <w:sz w:val="18"/>
                <w:szCs w:val="18"/>
              </w:rPr>
              <w:t>Singapore accounted for 4</w:t>
            </w:r>
            <w:r w:rsidR="00B37647" w:rsidRPr="000C41D9">
              <w:rPr>
                <w:rFonts w:cs="Arial"/>
                <w:sz w:val="18"/>
                <w:szCs w:val="18"/>
              </w:rPr>
              <w:t> per </w:t>
            </w:r>
            <w:r w:rsidR="009F0F7B" w:rsidRPr="000C41D9">
              <w:rPr>
                <w:rFonts w:cs="Arial"/>
                <w:sz w:val="18"/>
                <w:szCs w:val="18"/>
              </w:rPr>
              <w:t>cent</w:t>
            </w:r>
          </w:p>
          <w:p w14:paraId="2C9B5F8B" w14:textId="7A8A30C0" w:rsidR="007432A5" w:rsidRPr="00A544A8" w:rsidRDefault="00AA6FA4" w:rsidP="00B37647">
            <w:pPr>
              <w:numPr>
                <w:ilvl w:val="0"/>
                <w:numId w:val="15"/>
              </w:numPr>
              <w:rPr>
                <w:rFonts w:ascii="Calibri Light" w:hAnsi="Calibri Light" w:cs="Segoe UI"/>
                <w:sz w:val="20"/>
                <w:szCs w:val="20"/>
              </w:rPr>
            </w:pPr>
            <w:r w:rsidRPr="000C41D9">
              <w:rPr>
                <w:rFonts w:cs="Arial"/>
                <w:sz w:val="18"/>
                <w:szCs w:val="18"/>
              </w:rPr>
              <w:t>India</w:t>
            </w:r>
            <w:r w:rsidR="00B25E94" w:rsidRPr="000C41D9">
              <w:rPr>
                <w:rFonts w:cs="Arial"/>
                <w:sz w:val="18"/>
                <w:szCs w:val="18"/>
              </w:rPr>
              <w:t xml:space="preserve"> and Thailand</w:t>
            </w:r>
            <w:r w:rsidRPr="000C41D9">
              <w:rPr>
                <w:rFonts w:cs="Arial"/>
                <w:sz w:val="18"/>
                <w:szCs w:val="18"/>
              </w:rPr>
              <w:t xml:space="preserve"> accounted for </w:t>
            </w:r>
            <w:r w:rsidR="00B37647" w:rsidRPr="000C41D9">
              <w:rPr>
                <w:rFonts w:cs="Arial"/>
                <w:sz w:val="18"/>
                <w:szCs w:val="18"/>
              </w:rPr>
              <w:t>2</w:t>
            </w:r>
            <w:r w:rsidR="00D820B0" w:rsidRPr="000C41D9">
              <w:rPr>
                <w:rFonts w:cs="Arial"/>
                <w:sz w:val="18"/>
                <w:szCs w:val="18"/>
              </w:rPr>
              <w:t> per </w:t>
            </w:r>
            <w:r w:rsidRPr="000C41D9">
              <w:rPr>
                <w:rFonts w:cs="Arial"/>
                <w:sz w:val="18"/>
                <w:szCs w:val="18"/>
              </w:rPr>
              <w:t>cent</w:t>
            </w:r>
            <w:r w:rsidR="00B25E94" w:rsidRPr="000C41D9">
              <w:rPr>
                <w:rFonts w:cs="Arial"/>
                <w:sz w:val="18"/>
                <w:szCs w:val="18"/>
              </w:rPr>
              <w:t xml:space="preserve"> each</w:t>
            </w:r>
            <w:r w:rsidR="00A81D23" w:rsidRPr="000C41D9">
              <w:rPr>
                <w:rFonts w:cs="Arial"/>
                <w:sz w:val="18"/>
                <w:szCs w:val="18"/>
              </w:rPr>
              <w:t>.</w:t>
            </w:r>
          </w:p>
        </w:tc>
      </w:tr>
      <w:tr w:rsidR="00DF5DC1" w:rsidRPr="00F645D6" w14:paraId="36CFD26F" w14:textId="77777777" w:rsidTr="000D6AF9">
        <w:trPr>
          <w:trHeight w:val="4146"/>
        </w:trPr>
        <w:tc>
          <w:tcPr>
            <w:tcW w:w="6663" w:type="dxa"/>
            <w:vAlign w:val="center"/>
          </w:tcPr>
          <w:p w14:paraId="123F026F" w14:textId="577C71FF" w:rsidR="00DF5DC1" w:rsidRPr="000C41D9" w:rsidRDefault="000D6AF9" w:rsidP="00DF5DC1">
            <w:pPr>
              <w:jc w:val="left"/>
              <w:rPr>
                <w:rFonts w:cs="Arial"/>
                <w:sz w:val="10"/>
                <w:szCs w:val="10"/>
              </w:rPr>
            </w:pPr>
            <w:r w:rsidRPr="000C41D9">
              <w:rPr>
                <w:noProof/>
                <w:lang w:eastAsia="en-AU"/>
              </w:rPr>
              <w:drawing>
                <wp:inline distT="0" distB="0" distL="0" distR="0" wp14:anchorId="04C33E62" wp14:editId="4D01DC84">
                  <wp:extent cx="4093845" cy="2351405"/>
                  <wp:effectExtent l="0" t="0" r="1905" b="0"/>
                  <wp:docPr id="15" name="Chart 1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8"/>
                    </a:graphicData>
                  </a:graphic>
                </wp:inline>
              </w:drawing>
            </w:r>
            <w:r w:rsidR="00DF5DC1" w:rsidRPr="000C41D9">
              <w:rPr>
                <w:rFonts w:cs="Arial"/>
                <w:sz w:val="10"/>
                <w:szCs w:val="10"/>
              </w:rPr>
              <w:t xml:space="preserve">^ Others include </w:t>
            </w:r>
            <w:r w:rsidRPr="000C41D9">
              <w:rPr>
                <w:rFonts w:cs="Arial"/>
                <w:sz w:val="10"/>
                <w:szCs w:val="10"/>
              </w:rPr>
              <w:t xml:space="preserve">Malaysia, Mexico and the </w:t>
            </w:r>
            <w:r w:rsidR="000C41D9" w:rsidRPr="000C41D9">
              <w:rPr>
                <w:rFonts w:cs="Arial"/>
                <w:sz w:val="10"/>
                <w:szCs w:val="10"/>
              </w:rPr>
              <w:t>UAE for 2019-20; and Australia, Indonesia, Pakistan and the UAE for 2018</w:t>
            </w:r>
            <w:r w:rsidR="000C41D9" w:rsidRPr="000C41D9">
              <w:rPr>
                <w:rFonts w:cs="Arial"/>
                <w:sz w:val="10"/>
                <w:szCs w:val="10"/>
              </w:rPr>
              <w:noBreakHyphen/>
              <w:t>19.</w:t>
            </w:r>
          </w:p>
          <w:p w14:paraId="164D1FD6" w14:textId="77777777" w:rsidR="00DF5DC1" w:rsidRPr="007A2E7B" w:rsidRDefault="00DF5DC1" w:rsidP="00DF5DC1">
            <w:pPr>
              <w:jc w:val="left"/>
              <w:rPr>
                <w:rFonts w:ascii="Calibri Light" w:hAnsi="Calibri Light" w:cs="Segoe UI"/>
                <w:color w:val="C00000"/>
                <w:sz w:val="16"/>
                <w:szCs w:val="16"/>
              </w:rPr>
            </w:pPr>
            <w:r w:rsidRPr="000C41D9">
              <w:rPr>
                <w:rFonts w:cs="Arial"/>
                <w:sz w:val="10"/>
                <w:szCs w:val="10"/>
              </w:rPr>
              <w:t>Source: EnergyQuest LNG Report</w:t>
            </w:r>
          </w:p>
        </w:tc>
        <w:tc>
          <w:tcPr>
            <w:tcW w:w="3969" w:type="dxa"/>
            <w:vMerge/>
          </w:tcPr>
          <w:p w14:paraId="27CB2178" w14:textId="77777777" w:rsidR="00DF5DC1" w:rsidRPr="00A544A8" w:rsidRDefault="00DF5DC1" w:rsidP="00DF5DC1">
            <w:pPr>
              <w:rPr>
                <w:rFonts w:ascii="Calibri Light" w:hAnsi="Calibri Light" w:cs="Segoe UI"/>
                <w:color w:val="C00000"/>
                <w:sz w:val="16"/>
                <w:szCs w:val="16"/>
              </w:rPr>
            </w:pPr>
          </w:p>
        </w:tc>
      </w:tr>
      <w:tr w:rsidR="0024253F" w:rsidRPr="007A2E7B" w14:paraId="106EAA2E" w14:textId="77777777" w:rsidTr="00FA36EC">
        <w:trPr>
          <w:trHeight w:val="283"/>
        </w:trPr>
        <w:tc>
          <w:tcPr>
            <w:tcW w:w="6663" w:type="dxa"/>
            <w:shd w:val="clear" w:color="auto" w:fill="C0504D" w:themeFill="accent2"/>
            <w:vAlign w:val="center"/>
          </w:tcPr>
          <w:p w14:paraId="196E10F4" w14:textId="2F382B4F" w:rsidR="0024253F" w:rsidRPr="00E5003E" w:rsidRDefault="0024253F" w:rsidP="00BD2A2B">
            <w:pPr>
              <w:jc w:val="center"/>
              <w:rPr>
                <w:rFonts w:cs="Arial"/>
                <w:sz w:val="20"/>
                <w:szCs w:val="20"/>
              </w:rPr>
            </w:pPr>
            <w:r w:rsidRPr="00E5003E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 xml:space="preserve">WA’s LNG production by company: </w:t>
            </w:r>
            <w:r w:rsidR="00CA35FA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201</w:t>
            </w:r>
            <w:r w:rsidR="00BD2A2B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9</w:t>
            </w:r>
            <w:r w:rsidR="001D7D14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-20</w:t>
            </w:r>
          </w:p>
        </w:tc>
        <w:tc>
          <w:tcPr>
            <w:tcW w:w="3969" w:type="dxa"/>
            <w:vMerge w:val="restart"/>
          </w:tcPr>
          <w:p w14:paraId="345817DD" w14:textId="77777777" w:rsidR="00E5003E" w:rsidRPr="00A544A8" w:rsidRDefault="00E5003E" w:rsidP="00E5003E">
            <w:pPr>
              <w:rPr>
                <w:rFonts w:cs="Arial"/>
                <w:sz w:val="18"/>
                <w:szCs w:val="18"/>
              </w:rPr>
            </w:pPr>
          </w:p>
          <w:p w14:paraId="5B658A95" w14:textId="6BE29E8F" w:rsidR="00DA363E" w:rsidRPr="003F0880" w:rsidRDefault="00DA363E" w:rsidP="00E5003E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3F0880">
              <w:rPr>
                <w:rFonts w:cs="Arial"/>
                <w:sz w:val="18"/>
                <w:szCs w:val="18"/>
              </w:rPr>
              <w:t xml:space="preserve">In </w:t>
            </w:r>
            <w:r w:rsidR="00CA35FA" w:rsidRPr="003F0880">
              <w:rPr>
                <w:rFonts w:cs="Arial"/>
                <w:sz w:val="18"/>
                <w:szCs w:val="18"/>
              </w:rPr>
              <w:t>20</w:t>
            </w:r>
            <w:r w:rsidR="00E66B85" w:rsidRPr="003F0880">
              <w:rPr>
                <w:rFonts w:cs="Arial"/>
                <w:sz w:val="18"/>
                <w:szCs w:val="18"/>
              </w:rPr>
              <w:t>19</w:t>
            </w:r>
            <w:r w:rsidR="001D7D14" w:rsidRPr="003F0880">
              <w:rPr>
                <w:rFonts w:cs="Arial"/>
                <w:sz w:val="18"/>
                <w:szCs w:val="18"/>
              </w:rPr>
              <w:t>-20</w:t>
            </w:r>
            <w:r w:rsidR="00C90E9C" w:rsidRPr="003F0880">
              <w:rPr>
                <w:rFonts w:cs="Arial"/>
                <w:sz w:val="18"/>
                <w:szCs w:val="18"/>
              </w:rPr>
              <w:t>, Chevron (3</w:t>
            </w:r>
            <w:r w:rsidR="001D7D14" w:rsidRPr="003F0880">
              <w:rPr>
                <w:rFonts w:cs="Arial"/>
                <w:sz w:val="18"/>
                <w:szCs w:val="18"/>
              </w:rPr>
              <w:t>3</w:t>
            </w:r>
            <w:r w:rsidRPr="003F0880">
              <w:rPr>
                <w:rFonts w:cs="Arial"/>
                <w:sz w:val="18"/>
                <w:szCs w:val="18"/>
              </w:rPr>
              <w:t> per cent),</w:t>
            </w:r>
            <w:r w:rsidR="00C90E9C" w:rsidRPr="003F0880">
              <w:rPr>
                <w:rFonts w:cs="Arial"/>
                <w:sz w:val="18"/>
                <w:szCs w:val="18"/>
              </w:rPr>
              <w:t xml:space="preserve"> Woodside (1</w:t>
            </w:r>
            <w:r w:rsidR="001D7D14" w:rsidRPr="003F0880">
              <w:rPr>
                <w:rFonts w:cs="Arial"/>
                <w:sz w:val="18"/>
                <w:szCs w:val="18"/>
              </w:rPr>
              <w:t>8</w:t>
            </w:r>
            <w:r w:rsidR="00EB2D00" w:rsidRPr="003F0880">
              <w:rPr>
                <w:rFonts w:cs="Arial"/>
                <w:sz w:val="18"/>
                <w:szCs w:val="18"/>
              </w:rPr>
              <w:t> per </w:t>
            </w:r>
            <w:r w:rsidR="005F33DF" w:rsidRPr="003F0880">
              <w:rPr>
                <w:rFonts w:cs="Arial"/>
                <w:sz w:val="18"/>
                <w:szCs w:val="18"/>
              </w:rPr>
              <w:t xml:space="preserve">cent) and </w:t>
            </w:r>
            <w:r w:rsidR="00C90E9C" w:rsidRPr="003F0880">
              <w:rPr>
                <w:rFonts w:cs="Arial"/>
                <w:sz w:val="18"/>
                <w:szCs w:val="18"/>
              </w:rPr>
              <w:t>Shell (1</w:t>
            </w:r>
            <w:r w:rsidR="00CA35FA" w:rsidRPr="003F0880">
              <w:rPr>
                <w:rFonts w:cs="Arial"/>
                <w:sz w:val="18"/>
                <w:szCs w:val="18"/>
              </w:rPr>
              <w:t>5</w:t>
            </w:r>
            <w:r w:rsidR="005F33DF" w:rsidRPr="003F0880">
              <w:rPr>
                <w:rFonts w:cs="Arial"/>
                <w:sz w:val="18"/>
                <w:szCs w:val="18"/>
              </w:rPr>
              <w:t xml:space="preserve"> per cent) </w:t>
            </w:r>
            <w:r w:rsidRPr="003F0880">
              <w:rPr>
                <w:rFonts w:cs="Arial"/>
                <w:sz w:val="18"/>
                <w:szCs w:val="18"/>
              </w:rPr>
              <w:t>accounted for the largest shares of Western Australia’s LNG production by company.</w:t>
            </w:r>
          </w:p>
          <w:p w14:paraId="2E8D11DF" w14:textId="4E0C90B6" w:rsidR="0024253F" w:rsidRPr="00E66B85" w:rsidRDefault="0024253F" w:rsidP="00E5003E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D7974">
              <w:rPr>
                <w:rFonts w:cs="Arial"/>
                <w:sz w:val="18"/>
                <w:szCs w:val="18"/>
              </w:rPr>
              <w:t>Chevron has</w:t>
            </w:r>
            <w:r w:rsidRPr="00E66B85">
              <w:rPr>
                <w:rFonts w:cs="Arial"/>
                <w:sz w:val="18"/>
                <w:szCs w:val="18"/>
              </w:rPr>
              <w:t xml:space="preserve"> a one sixth share of the North West Shelf project and is the operator and largest stakeholder in the Gorgon and Wheatstone projects.</w:t>
            </w:r>
          </w:p>
          <w:p w14:paraId="74F35872" w14:textId="06E5A299" w:rsidR="0024253F" w:rsidRPr="00E66B85" w:rsidRDefault="0024253F" w:rsidP="00E5003E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E66B85">
              <w:rPr>
                <w:rFonts w:cs="Arial"/>
                <w:sz w:val="18"/>
                <w:szCs w:val="18"/>
              </w:rPr>
              <w:t>Woodside has a one sixth share of the North West Shelf project and a 90 per cent share of the Pluto project</w:t>
            </w:r>
            <w:r w:rsidR="007172AC" w:rsidRPr="00E66B85">
              <w:rPr>
                <w:rFonts w:cs="Arial"/>
                <w:sz w:val="18"/>
                <w:szCs w:val="18"/>
              </w:rPr>
              <w:t xml:space="preserve"> and is the operator of these projects.</w:t>
            </w:r>
          </w:p>
          <w:p w14:paraId="369515B6" w14:textId="6B655D8B" w:rsidR="00DA363E" w:rsidRPr="00A544A8" w:rsidRDefault="00EB2D00" w:rsidP="008B558E">
            <w:pPr>
              <w:numPr>
                <w:ilvl w:val="0"/>
                <w:numId w:val="11"/>
              </w:numPr>
              <w:ind w:left="360"/>
              <w:rPr>
                <w:rFonts w:ascii="Calibri Light" w:hAnsi="Calibri Light" w:cs="Segoe UI"/>
                <w:sz w:val="16"/>
                <w:szCs w:val="16"/>
              </w:rPr>
            </w:pPr>
            <w:r w:rsidRPr="00E66B85">
              <w:rPr>
                <w:rFonts w:cs="Arial"/>
                <w:sz w:val="18"/>
                <w:szCs w:val="18"/>
              </w:rPr>
              <w:t>Shell has a one sixth share of the North West Shelf project, a 25 per cent share of the Gorgon project and is the operator and largest stakeholder of the Prelude floating LNG project.</w:t>
            </w:r>
          </w:p>
        </w:tc>
      </w:tr>
      <w:tr w:rsidR="0024253F" w:rsidRPr="00F645D6" w14:paraId="4D66DC7A" w14:textId="77777777" w:rsidTr="001D7D14">
        <w:trPr>
          <w:trHeight w:val="3334"/>
        </w:trPr>
        <w:tc>
          <w:tcPr>
            <w:tcW w:w="6663" w:type="dxa"/>
            <w:vAlign w:val="center"/>
          </w:tcPr>
          <w:p w14:paraId="00836FFF" w14:textId="137CF065" w:rsidR="0024253F" w:rsidRDefault="001D7D14" w:rsidP="002C557B">
            <w:pPr>
              <w:jc w:val="left"/>
              <w:rPr>
                <w:rFonts w:ascii="Calibri Light" w:hAnsi="Calibri Light" w:cs="Segoe UI"/>
                <w:sz w:val="16"/>
                <w:szCs w:val="16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3B1F0E99" wp14:editId="241CF6F5">
                  <wp:extent cx="3837600" cy="2275200"/>
                  <wp:effectExtent l="0" t="0" r="0" b="0"/>
                  <wp:docPr id="7" name="Chart 7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9"/>
                    </a:graphicData>
                  </a:graphic>
                </wp:inline>
              </w:drawing>
            </w:r>
          </w:p>
          <w:p w14:paraId="4D6C2F7A" w14:textId="5F1A452B" w:rsidR="0024253F" w:rsidRPr="00066A48" w:rsidRDefault="008C3536" w:rsidP="002C557B">
            <w:pPr>
              <w:jc w:val="left"/>
              <w:rPr>
                <w:rFonts w:cs="Arial"/>
                <w:i/>
                <w:color w:val="000000" w:themeColor="text1"/>
                <w:sz w:val="10"/>
                <w:szCs w:val="10"/>
              </w:rPr>
            </w:pPr>
            <w:r w:rsidRPr="00066A48">
              <w:rPr>
                <w:rFonts w:cs="Arial"/>
                <w:color w:val="000000" w:themeColor="text1"/>
                <w:sz w:val="10"/>
                <w:szCs w:val="10"/>
              </w:rPr>
              <w:t xml:space="preserve">^ Includes </w:t>
            </w:r>
            <w:r w:rsidR="00E66B85" w:rsidRPr="00066A48">
              <w:rPr>
                <w:rFonts w:cs="Arial"/>
                <w:color w:val="000000" w:themeColor="text1"/>
                <w:sz w:val="10"/>
                <w:szCs w:val="10"/>
              </w:rPr>
              <w:t xml:space="preserve">Kufpec, </w:t>
            </w:r>
            <w:r w:rsidR="00F87E69" w:rsidRPr="00066A48">
              <w:rPr>
                <w:rFonts w:cs="Arial"/>
                <w:color w:val="000000" w:themeColor="text1"/>
                <w:sz w:val="10"/>
                <w:szCs w:val="10"/>
              </w:rPr>
              <w:t>CNOOC,</w:t>
            </w:r>
            <w:r w:rsidR="00E66B85" w:rsidRPr="00066A48">
              <w:rPr>
                <w:rFonts w:cs="Arial"/>
                <w:color w:val="000000" w:themeColor="text1"/>
                <w:sz w:val="10"/>
                <w:szCs w:val="10"/>
              </w:rPr>
              <w:t xml:space="preserve"> PE Wheatstone, T</w:t>
            </w:r>
            <w:r w:rsidR="00F87E69" w:rsidRPr="00066A48">
              <w:rPr>
                <w:rFonts w:cs="Arial"/>
                <w:color w:val="000000" w:themeColor="text1"/>
                <w:sz w:val="10"/>
                <w:szCs w:val="10"/>
              </w:rPr>
              <w:t>okyo Gas</w:t>
            </w:r>
            <w:r w:rsidR="00E66B85" w:rsidRPr="00066A48">
              <w:rPr>
                <w:rFonts w:cs="Arial"/>
                <w:color w:val="000000" w:themeColor="text1"/>
                <w:sz w:val="10"/>
                <w:szCs w:val="10"/>
              </w:rPr>
              <w:t xml:space="preserve">, </w:t>
            </w:r>
            <w:r w:rsidRPr="00066A48">
              <w:rPr>
                <w:rFonts w:cs="Arial"/>
                <w:color w:val="000000" w:themeColor="text1"/>
                <w:sz w:val="10"/>
                <w:szCs w:val="10"/>
              </w:rPr>
              <w:t>Kansai El</w:t>
            </w:r>
            <w:r w:rsidR="00E66B85" w:rsidRPr="00066A48">
              <w:rPr>
                <w:rFonts w:cs="Arial"/>
                <w:color w:val="000000" w:themeColor="text1"/>
                <w:sz w:val="10"/>
                <w:szCs w:val="10"/>
              </w:rPr>
              <w:t>e</w:t>
            </w:r>
            <w:r w:rsidRPr="00066A48">
              <w:rPr>
                <w:rFonts w:cs="Arial"/>
                <w:color w:val="000000" w:themeColor="text1"/>
                <w:sz w:val="10"/>
                <w:szCs w:val="10"/>
              </w:rPr>
              <w:t>ctr</w:t>
            </w:r>
            <w:r w:rsidR="00F87E69" w:rsidRPr="00066A48">
              <w:rPr>
                <w:rFonts w:cs="Arial"/>
                <w:color w:val="000000" w:themeColor="text1"/>
                <w:sz w:val="10"/>
                <w:szCs w:val="10"/>
              </w:rPr>
              <w:t xml:space="preserve">ic, </w:t>
            </w:r>
            <w:r w:rsidR="001D7D14">
              <w:rPr>
                <w:rFonts w:cs="Arial"/>
                <w:color w:val="000000" w:themeColor="text1"/>
                <w:sz w:val="10"/>
                <w:szCs w:val="10"/>
              </w:rPr>
              <w:t xml:space="preserve">Inpex, </w:t>
            </w:r>
            <w:r w:rsidR="00F87E69" w:rsidRPr="00066A48">
              <w:rPr>
                <w:rFonts w:cs="Arial"/>
                <w:color w:val="000000" w:themeColor="text1"/>
                <w:sz w:val="10"/>
                <w:szCs w:val="10"/>
              </w:rPr>
              <w:t>Osaka Gas, Kyushu Electric</w:t>
            </w:r>
            <w:r w:rsidR="00E66B85" w:rsidRPr="00066A48">
              <w:rPr>
                <w:rFonts w:cs="Arial"/>
                <w:color w:val="000000" w:themeColor="text1"/>
                <w:sz w:val="10"/>
                <w:szCs w:val="10"/>
              </w:rPr>
              <w:t>, Kogas</w:t>
            </w:r>
            <w:r w:rsidR="001D7D14">
              <w:rPr>
                <w:rFonts w:cs="Arial"/>
                <w:color w:val="000000" w:themeColor="text1"/>
                <w:sz w:val="10"/>
                <w:szCs w:val="10"/>
              </w:rPr>
              <w:t xml:space="preserve">, Jera and </w:t>
            </w:r>
            <w:r w:rsidR="00E66B85" w:rsidRPr="00066A48">
              <w:rPr>
                <w:rFonts w:cs="Arial"/>
                <w:color w:val="000000" w:themeColor="text1"/>
                <w:sz w:val="10"/>
                <w:szCs w:val="10"/>
              </w:rPr>
              <w:t>CPC</w:t>
            </w:r>
            <w:r w:rsidR="0024253F" w:rsidRPr="00066A48">
              <w:rPr>
                <w:rFonts w:cs="Arial"/>
                <w:color w:val="000000" w:themeColor="text1"/>
                <w:sz w:val="10"/>
                <w:szCs w:val="10"/>
              </w:rPr>
              <w:t>.</w:t>
            </w:r>
          </w:p>
          <w:p w14:paraId="4A662ABF" w14:textId="77777777" w:rsidR="0024253F" w:rsidRPr="00DA363E" w:rsidRDefault="0024253F" w:rsidP="002C557B">
            <w:pPr>
              <w:jc w:val="left"/>
              <w:rPr>
                <w:rFonts w:ascii="Calibri Light" w:hAnsi="Calibri Light" w:cs="Segoe UI"/>
                <w:sz w:val="12"/>
                <w:szCs w:val="12"/>
              </w:rPr>
            </w:pPr>
            <w:r w:rsidRPr="00DA363E">
              <w:rPr>
                <w:rFonts w:cs="Arial"/>
                <w:sz w:val="10"/>
                <w:szCs w:val="10"/>
              </w:rPr>
              <w:t>Source: EnergyQuest EnergyQuarterly.</w:t>
            </w:r>
          </w:p>
        </w:tc>
        <w:tc>
          <w:tcPr>
            <w:tcW w:w="3969" w:type="dxa"/>
            <w:vMerge/>
          </w:tcPr>
          <w:p w14:paraId="4C82B502" w14:textId="77777777" w:rsidR="0024253F" w:rsidRPr="00F645D6" w:rsidRDefault="0024253F" w:rsidP="002C557B">
            <w:pPr>
              <w:rPr>
                <w:rFonts w:ascii="Calibri Light" w:hAnsi="Calibri Light" w:cs="Segoe UI"/>
                <w:sz w:val="16"/>
                <w:szCs w:val="16"/>
              </w:rPr>
            </w:pPr>
          </w:p>
        </w:tc>
      </w:tr>
    </w:tbl>
    <w:p w14:paraId="28FC02BC" w14:textId="36938613" w:rsidR="005543FC" w:rsidRPr="007B7647" w:rsidRDefault="005543FC">
      <w:pPr>
        <w:rPr>
          <w:sz w:val="8"/>
          <w:szCs w:val="8"/>
        </w:rPr>
      </w:pPr>
    </w:p>
    <w:tbl>
      <w:tblPr>
        <w:tblStyle w:val="TableGrid"/>
        <w:tblW w:w="10632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5387"/>
      </w:tblGrid>
      <w:tr w:rsidR="005543FC" w:rsidRPr="005543FC" w14:paraId="2E77CBBC" w14:textId="77777777" w:rsidTr="004516BD">
        <w:trPr>
          <w:trHeight w:val="20"/>
        </w:trPr>
        <w:tc>
          <w:tcPr>
            <w:tcW w:w="5245" w:type="dxa"/>
            <w:vAlign w:val="center"/>
          </w:tcPr>
          <w:p w14:paraId="5C48A6DA" w14:textId="6A1B00D6" w:rsidR="005543FC" w:rsidRPr="005543FC" w:rsidRDefault="005543FC" w:rsidP="00DF5DC1">
            <w:pPr>
              <w:jc w:val="left"/>
              <w:rPr>
                <w:noProof/>
                <w:sz w:val="2"/>
                <w:szCs w:val="2"/>
                <w:lang w:eastAsia="en-AU"/>
              </w:rPr>
            </w:pPr>
          </w:p>
        </w:tc>
        <w:tc>
          <w:tcPr>
            <w:tcW w:w="5387" w:type="dxa"/>
          </w:tcPr>
          <w:p w14:paraId="6A35D6A1" w14:textId="77777777" w:rsidR="005543FC" w:rsidRPr="005543FC" w:rsidRDefault="005543FC" w:rsidP="00DF5DC1">
            <w:pPr>
              <w:rPr>
                <w:rFonts w:ascii="Calibri Light" w:hAnsi="Calibri Light" w:cs="Segoe UI"/>
                <w:color w:val="C00000"/>
                <w:sz w:val="2"/>
                <w:szCs w:val="2"/>
              </w:rPr>
            </w:pPr>
          </w:p>
        </w:tc>
      </w:tr>
      <w:tr w:rsidR="00DF5DC1" w:rsidRPr="00F645D6" w14:paraId="792DB906" w14:textId="77777777" w:rsidTr="007A1152">
        <w:trPr>
          <w:cantSplit/>
          <w:trHeight w:val="336"/>
        </w:trPr>
        <w:tc>
          <w:tcPr>
            <w:tcW w:w="10632" w:type="dxa"/>
            <w:gridSpan w:val="2"/>
            <w:shd w:val="clear" w:color="auto" w:fill="C0504D" w:themeFill="accent2"/>
            <w:vAlign w:val="center"/>
          </w:tcPr>
          <w:p w14:paraId="5DC8BDFF" w14:textId="17E08090" w:rsidR="00DF5DC1" w:rsidRPr="00FF3D5F" w:rsidRDefault="00DF5DC1" w:rsidP="00BB0A38">
            <w:pPr>
              <w:keepNext/>
              <w:jc w:val="center"/>
              <w:rPr>
                <w:rFonts w:cs="Arial"/>
                <w:b/>
                <w:i/>
                <w:sz w:val="20"/>
                <w:szCs w:val="20"/>
              </w:rPr>
            </w:pPr>
            <w:r w:rsidRPr="00DA363E">
              <w:rPr>
                <w:rFonts w:ascii="Calibri Light" w:hAnsi="Calibri Light" w:cs="Segoe UI"/>
                <w:sz w:val="16"/>
                <w:szCs w:val="16"/>
              </w:rPr>
              <w:lastRenderedPageBreak/>
              <w:br w:type="page"/>
            </w:r>
            <w:r w:rsidRPr="00FF3D5F">
              <w:rPr>
                <w:rFonts w:eastAsia="Meiryo UI" w:cs="Arial"/>
                <w:b/>
                <w:color w:val="FFFFFF" w:themeColor="background1"/>
                <w:spacing w:val="8"/>
                <w:sz w:val="20"/>
                <w:szCs w:val="20"/>
              </w:rPr>
              <w:t xml:space="preserve">WA LNG PROJECT LIST (including associated developments) – as at </w:t>
            </w:r>
            <w:r w:rsidR="00BB0A38">
              <w:rPr>
                <w:rFonts w:eastAsia="Meiryo UI" w:cs="Arial"/>
                <w:b/>
                <w:color w:val="FFFFFF" w:themeColor="background1"/>
                <w:spacing w:val="8"/>
                <w:sz w:val="20"/>
                <w:szCs w:val="20"/>
              </w:rPr>
              <w:t>30</w:t>
            </w:r>
            <w:r w:rsidR="002F4D8B" w:rsidRPr="00FF3D5F">
              <w:rPr>
                <w:rFonts w:eastAsia="Meiryo UI" w:cs="Arial"/>
                <w:b/>
                <w:color w:val="FFFFFF" w:themeColor="background1"/>
                <w:spacing w:val="8"/>
                <w:sz w:val="20"/>
                <w:szCs w:val="20"/>
              </w:rPr>
              <w:t> </w:t>
            </w:r>
            <w:r w:rsidR="00BB0A38">
              <w:rPr>
                <w:rFonts w:eastAsia="Meiryo UI" w:cs="Arial"/>
                <w:b/>
                <w:color w:val="FFFFFF" w:themeColor="background1"/>
                <w:spacing w:val="8"/>
                <w:sz w:val="20"/>
                <w:szCs w:val="20"/>
              </w:rPr>
              <w:t>September</w:t>
            </w:r>
            <w:r w:rsidR="002F4D8B" w:rsidRPr="00FF3D5F">
              <w:rPr>
                <w:rFonts w:eastAsia="Meiryo UI" w:cs="Arial"/>
                <w:b/>
                <w:color w:val="FFFF00"/>
                <w:spacing w:val="8"/>
                <w:sz w:val="20"/>
                <w:szCs w:val="20"/>
              </w:rPr>
              <w:t> </w:t>
            </w:r>
            <w:r w:rsidR="006B2971" w:rsidRPr="00FF3D5F">
              <w:rPr>
                <w:rFonts w:eastAsia="Meiryo UI" w:cs="Arial"/>
                <w:b/>
                <w:color w:val="FFFFFF" w:themeColor="background1"/>
                <w:spacing w:val="8"/>
                <w:sz w:val="20"/>
                <w:szCs w:val="20"/>
              </w:rPr>
              <w:t>20</w:t>
            </w:r>
            <w:r w:rsidR="00A45219" w:rsidRPr="00FF3D5F">
              <w:rPr>
                <w:rFonts w:eastAsia="Meiryo UI" w:cs="Arial"/>
                <w:b/>
                <w:color w:val="FFFFFF" w:themeColor="background1"/>
                <w:spacing w:val="8"/>
                <w:sz w:val="20"/>
                <w:szCs w:val="20"/>
              </w:rPr>
              <w:t>20</w:t>
            </w:r>
          </w:p>
        </w:tc>
      </w:tr>
    </w:tbl>
    <w:p w14:paraId="6A200FC4" w14:textId="77777777" w:rsidR="00DF5DC1" w:rsidRPr="00B33386" w:rsidRDefault="00DF5DC1" w:rsidP="00DF5DC1">
      <w:pPr>
        <w:rPr>
          <w:rFonts w:ascii="Calibri Light" w:hAnsi="Calibri Light" w:cs="Segoe UI"/>
          <w:sz w:val="8"/>
          <w:szCs w:val="16"/>
        </w:rPr>
      </w:pPr>
    </w:p>
    <w:tbl>
      <w:tblPr>
        <w:tblW w:w="1063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273"/>
        <w:gridCol w:w="1846"/>
        <w:gridCol w:w="850"/>
        <w:gridCol w:w="851"/>
        <w:gridCol w:w="850"/>
        <w:gridCol w:w="4962"/>
      </w:tblGrid>
      <w:tr w:rsidR="00DF5DC1" w:rsidRPr="00F645D6" w14:paraId="5A23BB5B" w14:textId="77777777" w:rsidTr="007A1152">
        <w:trPr>
          <w:trHeight w:val="213"/>
        </w:trPr>
        <w:tc>
          <w:tcPr>
            <w:tcW w:w="1273" w:type="dxa"/>
            <w:vMerge w:val="restart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6B09C451" w14:textId="77777777" w:rsidR="00DF5DC1" w:rsidRPr="00D667FD" w:rsidRDefault="00DF5DC1" w:rsidP="00DF5DC1">
            <w:pPr>
              <w:jc w:val="center"/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</w:pPr>
            <w:r w:rsidRPr="00D667FD"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  <w:t>Project</w:t>
            </w:r>
          </w:p>
        </w:tc>
        <w:tc>
          <w:tcPr>
            <w:tcW w:w="1846" w:type="dxa"/>
            <w:vMerge w:val="restart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70BD49C4" w14:textId="77777777" w:rsidR="00DF5DC1" w:rsidRPr="00D667FD" w:rsidRDefault="00DF5DC1" w:rsidP="00DF5DC1">
            <w:pPr>
              <w:jc w:val="center"/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</w:pPr>
            <w:r w:rsidRPr="00D667FD"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  <w:t>Stakeholders</w:t>
            </w:r>
          </w:p>
        </w:tc>
        <w:tc>
          <w:tcPr>
            <w:tcW w:w="850" w:type="dxa"/>
            <w:vMerge w:val="restart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28C3C53D" w14:textId="77777777" w:rsidR="00DF5DC1" w:rsidRPr="00D667FD" w:rsidRDefault="00DF5DC1" w:rsidP="00DF5DC1">
            <w:pPr>
              <w:jc w:val="center"/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</w:pPr>
            <w:r w:rsidRPr="00D667FD"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  <w:t xml:space="preserve">Capex </w:t>
            </w:r>
            <w:r w:rsidRPr="00D667FD"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  <w:br/>
            </w:r>
            <w:r w:rsidRPr="00612AD2">
              <w:rPr>
                <w:rFonts w:asciiTheme="minorHAnsi" w:eastAsia="Meiryo UI" w:hAnsiTheme="minorHAnsi" w:cs="Segoe UI"/>
                <w:color w:val="FFFFFF" w:themeColor="background1"/>
                <w:spacing w:val="8"/>
                <w:sz w:val="16"/>
                <w:szCs w:val="16"/>
              </w:rPr>
              <w:t>(A$b)</w:t>
            </w:r>
          </w:p>
        </w:tc>
        <w:tc>
          <w:tcPr>
            <w:tcW w:w="851" w:type="dxa"/>
            <w:vMerge w:val="restart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79727153" w14:textId="77777777" w:rsidR="00DF5DC1" w:rsidRPr="00D667FD" w:rsidRDefault="00DF5DC1" w:rsidP="00DF5DC1">
            <w:pPr>
              <w:jc w:val="center"/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</w:pPr>
            <w:r w:rsidRPr="00D667FD"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  <w:t>Capacity</w:t>
            </w:r>
          </w:p>
          <w:p w14:paraId="367277E3" w14:textId="45AF560D" w:rsidR="00DF5DC1" w:rsidRPr="00612AD2" w:rsidRDefault="00DF5DC1" w:rsidP="00DF5DC1">
            <w:pPr>
              <w:jc w:val="center"/>
              <w:rPr>
                <w:rFonts w:asciiTheme="minorHAnsi" w:eastAsia="Meiryo UI" w:hAnsiTheme="minorHAnsi" w:cs="Segoe UI"/>
                <w:color w:val="FFFFFF" w:themeColor="background1"/>
                <w:spacing w:val="8"/>
                <w:sz w:val="16"/>
                <w:szCs w:val="16"/>
              </w:rPr>
            </w:pPr>
            <w:r w:rsidRPr="00612AD2">
              <w:rPr>
                <w:rFonts w:asciiTheme="minorHAnsi" w:eastAsia="Meiryo UI" w:hAnsiTheme="minorHAnsi" w:cs="Segoe UI"/>
                <w:color w:val="FFFFFF" w:themeColor="background1"/>
                <w:spacing w:val="8"/>
                <w:sz w:val="16"/>
                <w:szCs w:val="16"/>
              </w:rPr>
              <w:t>(mtpa)</w:t>
            </w:r>
            <w:r w:rsidR="0004064D">
              <w:rPr>
                <w:rFonts w:asciiTheme="minorHAnsi" w:eastAsia="Meiryo UI" w:hAnsiTheme="minorHAnsi" w:cs="Segoe UI"/>
                <w:color w:val="FFFFFF" w:themeColor="background1"/>
                <w:spacing w:val="8"/>
                <w:sz w:val="16"/>
                <w:szCs w:val="16"/>
              </w:rPr>
              <w:t>*</w:t>
            </w:r>
          </w:p>
        </w:tc>
        <w:tc>
          <w:tcPr>
            <w:tcW w:w="850" w:type="dxa"/>
            <w:vMerge w:val="restart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606E0752" w14:textId="77777777" w:rsidR="00DF5DC1" w:rsidRPr="00D667FD" w:rsidRDefault="00DF5DC1" w:rsidP="00DF5DC1">
            <w:pPr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</w:pPr>
            <w:r w:rsidRPr="00D667FD"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  <w:t>Start-up</w:t>
            </w:r>
          </w:p>
        </w:tc>
        <w:tc>
          <w:tcPr>
            <w:tcW w:w="4962" w:type="dxa"/>
            <w:vMerge w:val="restart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C0504D" w:themeFill="accent2"/>
            <w:vAlign w:val="center"/>
          </w:tcPr>
          <w:p w14:paraId="781BB60B" w14:textId="1091065F" w:rsidR="00DF5DC1" w:rsidRPr="00D667FD" w:rsidRDefault="00DF5DC1" w:rsidP="00DF5DC1">
            <w:pPr>
              <w:jc w:val="left"/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</w:pPr>
            <w:r w:rsidRPr="00D667FD"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  <w:t>Project Information</w:t>
            </w:r>
          </w:p>
        </w:tc>
      </w:tr>
      <w:tr w:rsidR="00DF5DC1" w:rsidRPr="00F645D6" w14:paraId="6EC8EDB0" w14:textId="77777777" w:rsidTr="007A1152">
        <w:trPr>
          <w:trHeight w:val="195"/>
        </w:trPr>
        <w:tc>
          <w:tcPr>
            <w:tcW w:w="1273" w:type="dxa"/>
            <w:vMerge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27D77989" w14:textId="77777777" w:rsidR="00DF5DC1" w:rsidRPr="00F645D6" w:rsidRDefault="00DF5DC1" w:rsidP="00DF5DC1">
            <w:pPr>
              <w:jc w:val="left"/>
              <w:rPr>
                <w:rFonts w:ascii="Calibri Light" w:hAnsi="Calibri Light" w:cs="Segoe UI"/>
                <w:b/>
                <w:bCs/>
                <w:color w:val="FFFFFF"/>
                <w:sz w:val="16"/>
                <w:szCs w:val="16"/>
                <w:lang w:eastAsia="en-AU"/>
              </w:rPr>
            </w:pPr>
          </w:p>
        </w:tc>
        <w:tc>
          <w:tcPr>
            <w:tcW w:w="1846" w:type="dxa"/>
            <w:vMerge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105E50B1" w14:textId="77777777" w:rsidR="00DF5DC1" w:rsidRPr="00F645D6" w:rsidRDefault="00DF5DC1" w:rsidP="00DF5DC1">
            <w:pPr>
              <w:jc w:val="left"/>
              <w:rPr>
                <w:rFonts w:ascii="Calibri Light" w:hAnsi="Calibri Light" w:cs="Segoe UI"/>
                <w:b/>
                <w:bCs/>
                <w:color w:val="FFFFFF"/>
                <w:sz w:val="16"/>
                <w:szCs w:val="16"/>
                <w:lang w:eastAsia="en-AU"/>
              </w:rPr>
            </w:pPr>
          </w:p>
        </w:tc>
        <w:tc>
          <w:tcPr>
            <w:tcW w:w="850" w:type="dxa"/>
            <w:vMerge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0D4A5A90" w14:textId="77777777" w:rsidR="00DF5DC1" w:rsidRPr="00F645D6" w:rsidRDefault="00DF5DC1" w:rsidP="00DF5DC1">
            <w:pPr>
              <w:jc w:val="left"/>
              <w:rPr>
                <w:rFonts w:ascii="Calibri Light" w:hAnsi="Calibri Light" w:cs="Segoe UI"/>
                <w:b/>
                <w:bCs/>
                <w:color w:val="FFFFFF"/>
                <w:sz w:val="16"/>
                <w:szCs w:val="16"/>
                <w:lang w:eastAsia="en-AU"/>
              </w:rPr>
            </w:pPr>
          </w:p>
        </w:tc>
        <w:tc>
          <w:tcPr>
            <w:tcW w:w="851" w:type="dxa"/>
            <w:vMerge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78810BFE" w14:textId="77777777" w:rsidR="00DF5DC1" w:rsidRPr="00F645D6" w:rsidRDefault="00DF5DC1" w:rsidP="00DF5DC1">
            <w:pPr>
              <w:jc w:val="left"/>
              <w:rPr>
                <w:rFonts w:ascii="Calibri Light" w:hAnsi="Calibri Light" w:cs="Segoe UI"/>
                <w:b/>
                <w:bCs/>
                <w:color w:val="FFFFFF"/>
                <w:sz w:val="16"/>
                <w:szCs w:val="16"/>
                <w:lang w:eastAsia="en-AU"/>
              </w:rPr>
            </w:pPr>
          </w:p>
        </w:tc>
        <w:tc>
          <w:tcPr>
            <w:tcW w:w="850" w:type="dxa"/>
            <w:vMerge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09B60CA2" w14:textId="77777777" w:rsidR="00DF5DC1" w:rsidRPr="00F645D6" w:rsidRDefault="00DF5DC1" w:rsidP="00DF5DC1">
            <w:pPr>
              <w:jc w:val="left"/>
              <w:rPr>
                <w:rFonts w:ascii="Calibri Light" w:hAnsi="Calibri Light" w:cs="Segoe UI"/>
                <w:b/>
                <w:bCs/>
                <w:color w:val="FFFFFF"/>
                <w:sz w:val="16"/>
                <w:szCs w:val="16"/>
                <w:lang w:eastAsia="en-AU"/>
              </w:rPr>
            </w:pPr>
          </w:p>
        </w:tc>
        <w:tc>
          <w:tcPr>
            <w:tcW w:w="4962" w:type="dxa"/>
            <w:vMerge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C0504D" w:themeFill="accent2"/>
            <w:vAlign w:val="center"/>
          </w:tcPr>
          <w:p w14:paraId="280F51FC" w14:textId="77777777" w:rsidR="00DF5DC1" w:rsidRPr="00F645D6" w:rsidRDefault="00DF5DC1" w:rsidP="00DF5DC1">
            <w:pPr>
              <w:jc w:val="left"/>
              <w:rPr>
                <w:rFonts w:ascii="Calibri Light" w:hAnsi="Calibri Light" w:cs="Segoe UI"/>
                <w:b/>
                <w:bCs/>
                <w:color w:val="FFFFFF"/>
                <w:sz w:val="16"/>
                <w:szCs w:val="16"/>
                <w:lang w:eastAsia="en-AU"/>
              </w:rPr>
            </w:pPr>
          </w:p>
        </w:tc>
      </w:tr>
      <w:tr w:rsidR="00DF5DC1" w:rsidRPr="00F645D6" w14:paraId="3D9CF475" w14:textId="77777777" w:rsidTr="00A92989">
        <w:trPr>
          <w:trHeight w:val="1215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  <w:hideMark/>
          </w:tcPr>
          <w:p w14:paraId="2D535B2C" w14:textId="77777777" w:rsidR="00DF5DC1" w:rsidRDefault="00DF5DC1" w:rsidP="00DF5DC1">
            <w:pPr>
              <w:jc w:val="center"/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</w:pPr>
            <w:r w:rsidRPr="00F645D6"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  <w:t>North West Shelf</w:t>
            </w:r>
          </w:p>
          <w:p w14:paraId="71DD5F8D" w14:textId="77777777" w:rsidR="00DF5DC1" w:rsidRPr="000C7257" w:rsidRDefault="00DF5DC1" w:rsidP="00DF5DC1">
            <w:pPr>
              <w:jc w:val="center"/>
              <w:rPr>
                <w:rFonts w:ascii="Calibri Light" w:hAnsi="Calibri Light" w:cs="Segoe UI"/>
                <w:bCs/>
                <w:i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bCs/>
                <w:i/>
                <w:sz w:val="15"/>
                <w:szCs w:val="15"/>
                <w:lang w:eastAsia="en-AU"/>
              </w:rPr>
              <w:t>Trains 1-5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  <w:hideMark/>
          </w:tcPr>
          <w:p w14:paraId="54A7A9BE" w14:textId="77777777" w:rsidR="00DF5DC1" w:rsidRPr="00F43024" w:rsidRDefault="00DF5DC1" w:rsidP="00DF5DC1">
            <w:pPr>
              <w:ind w:left="179"/>
              <w:jc w:val="left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Woodside (16.67%)</w:t>
            </w:r>
          </w:p>
          <w:p w14:paraId="3F27D23D" w14:textId="77777777" w:rsidR="00DF5DC1" w:rsidRPr="00F43024" w:rsidRDefault="00DF5DC1" w:rsidP="00DF5DC1">
            <w:pPr>
              <w:ind w:left="179"/>
              <w:jc w:val="left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BHP (16.67%)</w:t>
            </w: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br/>
              <w:t>BP (16.67%)</w:t>
            </w:r>
          </w:p>
          <w:p w14:paraId="75B93D6E" w14:textId="77777777" w:rsidR="00DF5DC1" w:rsidRPr="00F43024" w:rsidRDefault="00DF5DC1" w:rsidP="00DF5DC1">
            <w:pPr>
              <w:ind w:left="179"/>
              <w:jc w:val="left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Chevron (16.67%)</w:t>
            </w: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br/>
              <w:t>MIMI (16.67%)</w:t>
            </w:r>
          </w:p>
          <w:p w14:paraId="5E76ABE8" w14:textId="77777777" w:rsidR="00DF5DC1" w:rsidRPr="00F43024" w:rsidRDefault="00DF5DC1" w:rsidP="00DF5DC1">
            <w:pPr>
              <w:ind w:left="179"/>
              <w:jc w:val="left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Shell (16.67%)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  <w:hideMark/>
          </w:tcPr>
          <w:p w14:paraId="09ADC25E" w14:textId="72851978" w:rsidR="00DF5DC1" w:rsidRPr="00F43024" w:rsidRDefault="0054534A" w:rsidP="00DF5DC1">
            <w:pPr>
              <w:jc w:val="center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34.0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  <w:hideMark/>
          </w:tcPr>
          <w:p w14:paraId="6A0656E1" w14:textId="2ADB5782" w:rsidR="00DF5DC1" w:rsidRPr="00F43024" w:rsidRDefault="00DF5DC1" w:rsidP="00DF5DC1">
            <w:pPr>
              <w:jc w:val="center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16.9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  <w:hideMark/>
          </w:tcPr>
          <w:p w14:paraId="103FE190" w14:textId="77777777" w:rsidR="00DF5DC1" w:rsidRPr="00F43024" w:rsidRDefault="00DF5DC1" w:rsidP="00DF5DC1">
            <w:pPr>
              <w:jc w:val="center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1989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7DBD1365" w14:textId="77777777" w:rsidR="00DF5DC1" w:rsidRPr="00F43024" w:rsidRDefault="00DF5DC1" w:rsidP="00DF5DC1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Trains 1 and 2 began in 1989.</w:t>
            </w:r>
          </w:p>
          <w:p w14:paraId="599E11D6" w14:textId="77777777" w:rsidR="00DF5DC1" w:rsidRPr="00F43024" w:rsidRDefault="00DF5DC1" w:rsidP="00DF5DC1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Train 3 began in 1992.</w:t>
            </w:r>
          </w:p>
          <w:p w14:paraId="201F1A3B" w14:textId="77777777" w:rsidR="00DF5DC1" w:rsidRPr="00F43024" w:rsidRDefault="00DF5DC1" w:rsidP="00DF5DC1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Train 4 began in 2004.</w:t>
            </w:r>
          </w:p>
          <w:p w14:paraId="643E1AF4" w14:textId="77777777" w:rsidR="00DF5DC1" w:rsidRPr="00F43024" w:rsidRDefault="00DF5DC1" w:rsidP="00DF5DC1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Train 5 began in 2008.</w:t>
            </w:r>
          </w:p>
        </w:tc>
      </w:tr>
      <w:tr w:rsidR="00DF5DC1" w:rsidRPr="00F645D6" w14:paraId="5D79BC40" w14:textId="77777777" w:rsidTr="0096044F">
        <w:trPr>
          <w:trHeight w:val="991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  <w:hideMark/>
          </w:tcPr>
          <w:p w14:paraId="495B02F9" w14:textId="77777777" w:rsidR="00DF5DC1" w:rsidRDefault="00DF5DC1" w:rsidP="00DF5DC1">
            <w:pPr>
              <w:jc w:val="center"/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</w:pPr>
            <w:r w:rsidRPr="00F645D6"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  <w:t>Pluto</w:t>
            </w:r>
          </w:p>
          <w:p w14:paraId="438DD576" w14:textId="77777777" w:rsidR="00DF5DC1" w:rsidRPr="000C7257" w:rsidRDefault="00DF5DC1" w:rsidP="00DF5DC1">
            <w:pPr>
              <w:jc w:val="center"/>
              <w:rPr>
                <w:rFonts w:ascii="Calibri Light" w:hAnsi="Calibri Light" w:cs="Segoe UI"/>
                <w:bCs/>
                <w:i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bCs/>
                <w:i/>
                <w:sz w:val="15"/>
                <w:szCs w:val="15"/>
                <w:lang w:eastAsia="en-AU"/>
              </w:rPr>
              <w:t>Train 1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  <w:hideMark/>
          </w:tcPr>
          <w:p w14:paraId="3342E2E4" w14:textId="77777777" w:rsidR="00DF5DC1" w:rsidRPr="00F43024" w:rsidRDefault="00DF5DC1" w:rsidP="00DF5DC1">
            <w:pPr>
              <w:ind w:left="179"/>
              <w:jc w:val="left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Woodside (90%)</w:t>
            </w:r>
          </w:p>
          <w:p w14:paraId="28070232" w14:textId="77777777" w:rsidR="00DF5DC1" w:rsidRPr="00F43024" w:rsidRDefault="00DF5DC1" w:rsidP="00DF5DC1">
            <w:pPr>
              <w:ind w:left="179"/>
              <w:jc w:val="left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Tokyo Gas (5%)</w:t>
            </w: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br/>
              <w:t>Kansai Electric (5%)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  <w:hideMark/>
          </w:tcPr>
          <w:p w14:paraId="2FEC08F0" w14:textId="77777777" w:rsidR="00DF5DC1" w:rsidRPr="00F43024" w:rsidRDefault="00DF5DC1" w:rsidP="00DF5DC1">
            <w:pPr>
              <w:jc w:val="center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15.0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  <w:hideMark/>
          </w:tcPr>
          <w:p w14:paraId="0D1FB1B0" w14:textId="77777777" w:rsidR="00DF5DC1" w:rsidRPr="00F43024" w:rsidRDefault="00DF5DC1" w:rsidP="00DF5DC1">
            <w:pPr>
              <w:jc w:val="center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4.9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  <w:hideMark/>
          </w:tcPr>
          <w:p w14:paraId="13F05FE4" w14:textId="77777777" w:rsidR="00DF5DC1" w:rsidRPr="00CF61D9" w:rsidRDefault="00DF5DC1" w:rsidP="00DF5DC1">
            <w:pPr>
              <w:jc w:val="center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2012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0B99A5E1" w14:textId="2E921544" w:rsidR="00142989" w:rsidRDefault="00142989" w:rsidP="00DF5DC1">
            <w:pPr>
              <w:jc w:val="left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Pluto exported its first LNG cargo in May 2012.</w:t>
            </w:r>
          </w:p>
          <w:p w14:paraId="079B7517" w14:textId="6CBC3712" w:rsidR="00DF5DC1" w:rsidRPr="00CF61D9" w:rsidRDefault="00DF5DC1" w:rsidP="00DF5DC1">
            <w:pPr>
              <w:jc w:val="left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Xena 1 field commenced production in June 2015.</w:t>
            </w:r>
          </w:p>
          <w:p w14:paraId="71E79CDD" w14:textId="4395D7AC" w:rsidR="00E15C19" w:rsidRPr="00CF61D9" w:rsidRDefault="00C42155" w:rsidP="00A92989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0C41D9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Woodside </w:t>
            </w:r>
            <w:r w:rsidR="00A37C4C" w:rsidRPr="000C41D9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 xml:space="preserve">plans to backfill and expand </w:t>
            </w:r>
            <w:r w:rsidRPr="000C41D9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the Pluto LNG facilities with gas from the Scarborough fields</w:t>
            </w:r>
            <w:r w:rsidR="00A92989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.</w:t>
            </w:r>
            <w:r w:rsidR="000D6AF9" w:rsidRPr="000C41D9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 xml:space="preserve"> FID </w:t>
            </w:r>
            <w:r w:rsidR="00A92989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 xml:space="preserve">is </w:t>
            </w:r>
            <w:r w:rsidR="000D6AF9" w:rsidRPr="000C41D9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targeted for the second half of 2021.</w:t>
            </w:r>
          </w:p>
        </w:tc>
      </w:tr>
      <w:tr w:rsidR="00A92989" w:rsidRPr="00F645D6" w14:paraId="235CC56E" w14:textId="77777777" w:rsidTr="00A92989">
        <w:trPr>
          <w:trHeight w:val="1259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19AE198B" w14:textId="77777777" w:rsidR="00A92989" w:rsidRPr="00675FA6" w:rsidRDefault="00A92989" w:rsidP="00A92989">
            <w:pPr>
              <w:jc w:val="center"/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</w:pPr>
            <w:r w:rsidRPr="00675FA6"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  <w:t>Gorgon</w:t>
            </w:r>
          </w:p>
          <w:p w14:paraId="2237C7BB" w14:textId="4716BBB1" w:rsidR="00A92989" w:rsidRPr="00F645D6" w:rsidRDefault="00A92989" w:rsidP="00A92989">
            <w:pPr>
              <w:jc w:val="center"/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</w:pPr>
            <w:r w:rsidRPr="00675FA6">
              <w:rPr>
                <w:rFonts w:ascii="Calibri Light" w:hAnsi="Calibri Light" w:cs="Segoe UI"/>
                <w:bCs/>
                <w:i/>
                <w:sz w:val="15"/>
                <w:szCs w:val="15"/>
                <w:lang w:eastAsia="en-AU"/>
              </w:rPr>
              <w:t>Trains 1-3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4E2B591B" w14:textId="77777777" w:rsidR="00A92989" w:rsidRPr="00AA6866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Chevron (47.3%)</w:t>
            </w:r>
          </w:p>
          <w:p w14:paraId="7006388C" w14:textId="77777777" w:rsidR="00A92989" w:rsidRPr="00AA6866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ExxonMobil (25%)</w:t>
            </w:r>
          </w:p>
          <w:p w14:paraId="39B44799" w14:textId="77777777" w:rsidR="00A92989" w:rsidRPr="00AA6866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Shell (25%)</w:t>
            </w:r>
          </w:p>
          <w:p w14:paraId="542B926C" w14:textId="77777777" w:rsidR="00A92989" w:rsidRPr="00AA6866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Osaka Gas (1.25%)</w:t>
            </w:r>
          </w:p>
          <w:p w14:paraId="269D0AE8" w14:textId="77777777" w:rsidR="00A92989" w:rsidRPr="00AA6866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Tokyo Gas (1%)</w:t>
            </w:r>
          </w:p>
          <w:p w14:paraId="50F61AAA" w14:textId="71B83FAB" w:rsidR="00A92989" w:rsidRPr="00F645D6" w:rsidRDefault="00A92989" w:rsidP="00A92989">
            <w:pPr>
              <w:ind w:left="179"/>
              <w:jc w:val="left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JERA </w:t>
            </w: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(0.417%)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0C69BB69" w14:textId="446F77B6" w:rsidR="00A92989" w:rsidRPr="00F645D6" w:rsidRDefault="00A92989" w:rsidP="00A92989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55</w:t>
            </w: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.0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4F4761D7" w14:textId="03504CE0" w:rsidR="00A92989" w:rsidRPr="00F645D6" w:rsidRDefault="00A92989" w:rsidP="00A92989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15.6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008165E0" w14:textId="3AA1D2FD" w:rsidR="00A92989" w:rsidRPr="00F645D6" w:rsidRDefault="00A92989" w:rsidP="00A92989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Mar 2016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6D2814CB" w14:textId="77777777" w:rsidR="00A92989" w:rsidRPr="00FB1BFD" w:rsidRDefault="00A92989" w:rsidP="00A92989">
            <w:pPr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FB1BFD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Gorgon exported its first LNG cargo </w:t>
            </w: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in</w:t>
            </w:r>
            <w:r w:rsidRPr="00FB1BFD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 March 2016.</w:t>
            </w:r>
          </w:p>
          <w:p w14:paraId="35B29B45" w14:textId="77777777" w:rsidR="00A92989" w:rsidRPr="00FA3CAB" w:rsidRDefault="00A92989" w:rsidP="00A92989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B1BFD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Train 2 began production in </w:t>
            </w:r>
            <w:r w:rsidRPr="00FA3CAB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October 2016.</w:t>
            </w:r>
          </w:p>
          <w:p w14:paraId="1FFB72B8" w14:textId="77777777" w:rsidR="00A92989" w:rsidRDefault="00A92989" w:rsidP="00A92989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A3CAB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 xml:space="preserve">Train 3 </w:t>
            </w:r>
            <w: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began production in March 2017</w:t>
            </w:r>
            <w:r w:rsidRPr="00FA3CAB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.</w:t>
            </w:r>
          </w:p>
          <w:p w14:paraId="7F2E0402" w14:textId="0C6CCFB8" w:rsidR="00A92989" w:rsidRPr="00E1764B" w:rsidRDefault="00A92989" w:rsidP="00A92989">
            <w:pP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Chevron is increasing Gorgon capacity by debottlenecking existing trains.</w:t>
            </w:r>
          </w:p>
        </w:tc>
      </w:tr>
      <w:tr w:rsidR="00A92989" w:rsidRPr="00F645D6" w14:paraId="2772E814" w14:textId="77777777" w:rsidTr="00A92989">
        <w:trPr>
          <w:trHeight w:val="1121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09B86D38" w14:textId="77777777" w:rsidR="00A92989" w:rsidRPr="00CF61D9" w:rsidRDefault="00A92989" w:rsidP="00A92989">
            <w:pPr>
              <w:jc w:val="center"/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  <w:t>Wheatstone</w:t>
            </w:r>
          </w:p>
          <w:p w14:paraId="05E81B24" w14:textId="0342B23F" w:rsidR="00A92989" w:rsidRPr="00F645D6" w:rsidRDefault="00A92989" w:rsidP="00A92989">
            <w:pPr>
              <w:jc w:val="center"/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bCs/>
                <w:i/>
                <w:sz w:val="15"/>
                <w:szCs w:val="15"/>
                <w:lang w:eastAsia="en-AU"/>
              </w:rPr>
              <w:t>Train 1 &amp; 2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30BCD781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Chevron (64.14%)</w:t>
            </w:r>
          </w:p>
          <w:p w14:paraId="57A447AE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KUFPEC (13.4%)</w:t>
            </w:r>
          </w:p>
          <w:p w14:paraId="545ECA8E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Woodside (13%)</w:t>
            </w:r>
          </w:p>
          <w:p w14:paraId="538D9C73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PE Wheatstone (8%)</w:t>
            </w:r>
          </w:p>
          <w:p w14:paraId="3465D978" w14:textId="7AB7D312" w:rsidR="00A92989" w:rsidRPr="00F645D6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Kyushu Electric (1.46%)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42549C92" w14:textId="79295DEF" w:rsidR="00A92989" w:rsidRPr="00F645D6" w:rsidRDefault="00A92989" w:rsidP="00A92989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40.0^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43076DEC" w14:textId="43059887" w:rsidR="00A92989" w:rsidRPr="00F645D6" w:rsidRDefault="00A92989" w:rsidP="00A92989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8.9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0F10CB42" w14:textId="48B952E0" w:rsidR="00A92989" w:rsidRPr="00F645D6" w:rsidRDefault="00A92989" w:rsidP="00A92989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Oct 2017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08AD416E" w14:textId="77777777" w:rsidR="00A92989" w:rsidRPr="00A544A8" w:rsidRDefault="00A92989" w:rsidP="00A92989">
            <w:pPr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Train 1 commenced LNG production in October 2017.</w:t>
            </w:r>
          </w:p>
          <w:p w14:paraId="79B3DB92" w14:textId="77777777" w:rsidR="00A92989" w:rsidRDefault="00A92989" w:rsidP="00A92989">
            <w:pPr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Train 2 commenced LNG production in June 2018.</w:t>
            </w:r>
          </w:p>
          <w:p w14:paraId="7B2A790D" w14:textId="03FB5C3D" w:rsidR="00A92989" w:rsidRPr="00866BAD" w:rsidRDefault="00A92989" w:rsidP="00A92989">
            <w:pP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DD6222">
              <w:rPr>
                <w:rFonts w:ascii="Calibri Light" w:hAnsi="Calibri Light" w:cs="Segoe UI"/>
                <w:sz w:val="15"/>
                <w:szCs w:val="15"/>
                <w:lang w:eastAsia="en-AU"/>
              </w:rPr>
              <w:t>Chevron is increasing Wheatstone capacity by debottlenecking existing trains.</w:t>
            </w:r>
          </w:p>
        </w:tc>
      </w:tr>
      <w:tr w:rsidR="00A92989" w:rsidRPr="00F645D6" w14:paraId="143FCA84" w14:textId="77777777" w:rsidTr="0096044F">
        <w:trPr>
          <w:trHeight w:val="1706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526467FB" w14:textId="77777777" w:rsidR="00A92989" w:rsidRPr="00CF61D9" w:rsidRDefault="00A92989" w:rsidP="00A92989">
            <w:pPr>
              <w:jc w:val="center"/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  <w:t>Ichthys</w:t>
            </w:r>
          </w:p>
          <w:p w14:paraId="2BA9529C" w14:textId="70F5F1D4" w:rsidR="00A92989" w:rsidRPr="00675FA6" w:rsidRDefault="00A92989" w:rsidP="00A92989">
            <w:pPr>
              <w:jc w:val="center"/>
              <w:rPr>
                <w:rFonts w:ascii="Calibri Light" w:hAnsi="Calibri Light" w:cs="Segoe UI"/>
                <w:bCs/>
                <w:i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bCs/>
                <w:sz w:val="15"/>
                <w:szCs w:val="15"/>
                <w:lang w:eastAsia="en-AU"/>
              </w:rPr>
              <w:t>Train 1 &amp; 2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264B5691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Inpex (6</w:t>
            </w: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6</w:t>
            </w: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.2</w:t>
            </w: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45</w:t>
            </w: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%)</w:t>
            </w:r>
          </w:p>
          <w:p w14:paraId="3344B897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Total (</w:t>
            </w: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26</w:t>
            </w: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%)</w:t>
            </w:r>
          </w:p>
          <w:p w14:paraId="6E6A505F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CPC (2.625%)</w:t>
            </w:r>
          </w:p>
          <w:p w14:paraId="7F9A2C57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Tokyo Gas (1.575%)</w:t>
            </w:r>
          </w:p>
          <w:p w14:paraId="58A41218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Osaka Gas (1.2%)</w:t>
            </w:r>
          </w:p>
          <w:p w14:paraId="295712BD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Kansai Electric (1.2%)</w:t>
            </w:r>
          </w:p>
          <w:p w14:paraId="0C76A558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JERA (0.735%)</w:t>
            </w:r>
          </w:p>
          <w:p w14:paraId="012D1113" w14:textId="3EB1DBCA" w:rsidR="00A92989" w:rsidRPr="00AA6866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Toho Gas (0.42%)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38F4AA05" w14:textId="48499E69" w:rsidR="00A92989" w:rsidRPr="00AA6866" w:rsidRDefault="00A92989" w:rsidP="00A92989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27.2^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1D2B4A6D" w14:textId="4B4F0DAB" w:rsidR="00A92989" w:rsidRPr="00AA6866" w:rsidRDefault="00A92989" w:rsidP="00A92989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n/a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20D2F6EA" w14:textId="32CC25B3" w:rsidR="00A92989" w:rsidRPr="00AA6866" w:rsidRDefault="00A92989" w:rsidP="00A92989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iCs/>
                <w:color w:val="000000" w:themeColor="text1"/>
                <w:sz w:val="15"/>
                <w:szCs w:val="15"/>
                <w:lang w:eastAsia="en-AU"/>
              </w:rPr>
              <w:t xml:space="preserve">Oct </w:t>
            </w:r>
            <w:r w:rsidRPr="00A544A8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2018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0EA2F761" w14:textId="32139F8E" w:rsidR="00A92989" w:rsidRPr="005F7EA5" w:rsidRDefault="00A92989" w:rsidP="00A92989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5F7EA5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The Ichthys gas field is located in the Browse Basin, offshore Western Australia.</w:t>
            </w:r>
            <w:r w:rsidR="0096044F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 xml:space="preserve"> </w:t>
            </w:r>
            <w:r w:rsidRPr="005F7EA5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The project has two LNG trains at Darwin with a total capacity of 8.9 mtpa.</w:t>
            </w:r>
            <w:r w:rsidR="00FF3D5F"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 Western Australia’s share of the project’s total capital expenditure is around 50 per cent.</w:t>
            </w:r>
          </w:p>
          <w:p w14:paraId="6FB52B01" w14:textId="62AAA51C" w:rsidR="00A92989" w:rsidRPr="00650DA1" w:rsidRDefault="00A92989" w:rsidP="00FF3D5F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5F7EA5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All LNG production from Ichthys is attributed to the Northern Territory, although condensate is exported from a floating production, storage and offloading facility located offshore Western Australia.</w:t>
            </w:r>
          </w:p>
        </w:tc>
      </w:tr>
      <w:tr w:rsidR="00A92989" w:rsidRPr="00CF61D9" w14:paraId="07999BEE" w14:textId="77777777" w:rsidTr="00A92989">
        <w:trPr>
          <w:trHeight w:val="1042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005CE419" w14:textId="77777777" w:rsidR="00A92989" w:rsidRDefault="00A92989" w:rsidP="00A92989">
            <w:pPr>
              <w:jc w:val="center"/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  <w:t>Prelude</w:t>
            </w:r>
          </w:p>
          <w:p w14:paraId="6E48D4E2" w14:textId="06A74F07" w:rsidR="00A92989" w:rsidRPr="00CF61D9" w:rsidRDefault="00A92989" w:rsidP="00A92989">
            <w:pPr>
              <w:jc w:val="center"/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</w:pPr>
            <w:r w:rsidRPr="000C7257">
              <w:rPr>
                <w:rFonts w:ascii="Calibri Light" w:hAnsi="Calibri Light" w:cs="Segoe UI"/>
                <w:bCs/>
                <w:i/>
                <w:iCs/>
                <w:sz w:val="15"/>
                <w:szCs w:val="15"/>
                <w:lang w:eastAsia="en-AU"/>
              </w:rPr>
              <w:t>FLNG</w:t>
            </w:r>
            <w:r>
              <w:rPr>
                <w:rFonts w:ascii="Calibri Light" w:hAnsi="Calibri Light" w:cs="Segoe UI"/>
                <w:bCs/>
                <w:i/>
                <w:iCs/>
                <w:sz w:val="15"/>
                <w:szCs w:val="15"/>
                <w:lang w:eastAsia="en-AU"/>
              </w:rPr>
              <w:t xml:space="preserve"> vessel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5B8F7F02" w14:textId="77777777" w:rsidR="00A9298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Shell (67.5%)</w:t>
            </w:r>
          </w:p>
          <w:p w14:paraId="2B08522B" w14:textId="77777777" w:rsidR="00A9298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Inpex (17.5%)</w:t>
            </w:r>
          </w:p>
          <w:p w14:paraId="79451887" w14:textId="77777777" w:rsidR="00A9298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KOGAS (10%)</w:t>
            </w:r>
          </w:p>
          <w:p w14:paraId="783B76B4" w14:textId="6ACAFC3C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CPC</w:t>
            </w: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 (5%)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1C45C7B6" w14:textId="083B7A1E" w:rsidR="00A92989" w:rsidRPr="00CF61D9" w:rsidRDefault="00A92989" w:rsidP="00A92989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19.6^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3C0B4F62" w14:textId="6CC88F29" w:rsidR="00A92989" w:rsidRPr="00CF61D9" w:rsidRDefault="00A92989" w:rsidP="00A92989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3.6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18F13A45" w14:textId="652915EC" w:rsidR="00A92989" w:rsidRPr="00CF61D9" w:rsidRDefault="00A92989" w:rsidP="00A92989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iCs/>
                <w:color w:val="000000" w:themeColor="text1"/>
                <w:sz w:val="15"/>
                <w:szCs w:val="15"/>
                <w:lang w:eastAsia="en-AU"/>
              </w:rPr>
              <w:t>Jun</w:t>
            </w:r>
            <w:r w:rsidRPr="00A544A8">
              <w:rPr>
                <w:rFonts w:ascii="Calibri Light" w:hAnsi="Calibri Light" w:cs="Segoe UI"/>
                <w:iCs/>
                <w:color w:val="000000" w:themeColor="text1"/>
                <w:sz w:val="15"/>
                <w:szCs w:val="15"/>
                <w:lang w:eastAsia="en-AU"/>
              </w:rPr>
              <w:t xml:space="preserve"> </w:t>
            </w:r>
            <w:r w:rsidRPr="00A544A8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2019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743AECA7" w14:textId="77777777" w:rsidR="00A92989" w:rsidRPr="00A544A8" w:rsidRDefault="00A92989" w:rsidP="00A92989">
            <w:pPr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The floating LNG vessel exported its first LNG cargo in June 2019.</w:t>
            </w:r>
          </w:p>
          <w:p w14:paraId="54316FC4" w14:textId="1395AE6B" w:rsidR="00A92989" w:rsidRPr="00CF61D9" w:rsidRDefault="00A92989" w:rsidP="00A92989">
            <w:pP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In addition to LNG, Prelude will produce 1.3 mtpa of condensate and 0.4 mtpa of LPG. The vessel will operate at the Prelude gas field for 25 years.</w:t>
            </w:r>
          </w:p>
        </w:tc>
      </w:tr>
      <w:tr w:rsidR="00FF3D5F" w:rsidRPr="00CF61D9" w14:paraId="4D3B4301" w14:textId="77777777" w:rsidTr="00FF3D5F">
        <w:trPr>
          <w:trHeight w:val="909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4242663A" w14:textId="77777777" w:rsidR="00FF3D5F" w:rsidRDefault="00FF3D5F" w:rsidP="00FF3D5F">
            <w:pPr>
              <w:jc w:val="center"/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  <w:t>Gorgon Stage 2</w:t>
            </w:r>
          </w:p>
          <w:p w14:paraId="2AFFB841" w14:textId="08589624" w:rsidR="00FF3D5F" w:rsidRPr="00CF61D9" w:rsidRDefault="00FF3D5F" w:rsidP="00FF3D5F">
            <w:pPr>
              <w:jc w:val="center"/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bCs/>
                <w:i/>
                <w:iCs/>
                <w:sz w:val="15"/>
                <w:szCs w:val="15"/>
                <w:lang w:eastAsia="en-AU"/>
              </w:rPr>
              <w:t>Development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2F4C5155" w14:textId="4984991A" w:rsidR="00FF3D5F" w:rsidRPr="00CF61D9" w:rsidRDefault="00FF3D5F" w:rsidP="00FF3D5F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see Gorgon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1DD8FACE" w14:textId="7EF252DB" w:rsidR="00FF3D5F" w:rsidRPr="00A544A8" w:rsidRDefault="00FF3D5F" w:rsidP="00FF3D5F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5.1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281A6AE8" w14:textId="3161A8A6" w:rsidR="00FF3D5F" w:rsidRPr="00A544A8" w:rsidRDefault="00FF3D5F" w:rsidP="00FF3D5F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n/a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1884175B" w14:textId="0A8FC359" w:rsidR="00FF3D5F" w:rsidRPr="00A544A8" w:rsidRDefault="00FF3D5F" w:rsidP="00FF3D5F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2022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1E80C611" w14:textId="4845D50B" w:rsidR="00FF3D5F" w:rsidRPr="00A544A8" w:rsidRDefault="00FF3D5F" w:rsidP="00FF3D5F">
            <w:pP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In April 2018, Chevron announced investment in the second stage of the Gorgon project, which will help maintain gas supply to the project for the next 30 years</w:t>
            </w:r>
            <w:r w:rsidRPr="00010767">
              <w:rPr>
                <w:rFonts w:ascii="Calibri Light" w:hAnsi="Calibri Light" w:cs="Segoe UI"/>
                <w:sz w:val="15"/>
                <w:szCs w:val="15"/>
                <w:lang w:eastAsia="en-AU"/>
              </w:rPr>
              <w:t>. Drilling started in May 2019.</w:t>
            </w:r>
          </w:p>
        </w:tc>
      </w:tr>
      <w:tr w:rsidR="00FF3D5F" w:rsidRPr="00CF61D9" w14:paraId="7A6C8A32" w14:textId="77777777" w:rsidTr="00FF3D5F">
        <w:trPr>
          <w:trHeight w:val="980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4CA0EEC7" w14:textId="77777777" w:rsidR="00FF3D5F" w:rsidRDefault="00FF3D5F" w:rsidP="00FF3D5F">
            <w:pPr>
              <w:jc w:val="center"/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  <w:t xml:space="preserve">Julimar-Brunello </w:t>
            </w:r>
            <w:r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  <w:t>Phase 2</w:t>
            </w:r>
          </w:p>
          <w:p w14:paraId="40FC92D6" w14:textId="54F52D25" w:rsidR="00FF3D5F" w:rsidRPr="00CF61D9" w:rsidRDefault="00FF3D5F" w:rsidP="00FF3D5F">
            <w:pPr>
              <w:jc w:val="center"/>
              <w:rPr>
                <w:rFonts w:ascii="Calibri Light" w:hAnsi="Calibri Light" w:cs="Segoe UI"/>
                <w:bCs/>
                <w:i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bCs/>
                <w:i/>
                <w:iCs/>
                <w:sz w:val="15"/>
                <w:szCs w:val="15"/>
                <w:lang w:eastAsia="en-AU"/>
              </w:rPr>
              <w:t>Development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5CD1D103" w14:textId="77777777" w:rsidR="00FF3D5F" w:rsidRPr="00CF61D9" w:rsidRDefault="00FF3D5F" w:rsidP="00FF3D5F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Woodside (65%)</w:t>
            </w:r>
          </w:p>
          <w:p w14:paraId="2316A6EE" w14:textId="784C417E" w:rsidR="00FF3D5F" w:rsidRPr="00CF61D9" w:rsidRDefault="00FF3D5F" w:rsidP="00FF3D5F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KUFPEC (35%)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370EBCA6" w14:textId="20798413" w:rsidR="00FF3D5F" w:rsidRPr="00A544A8" w:rsidRDefault="00FF3D5F" w:rsidP="00FF3D5F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2.7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4B67EB05" w14:textId="70CC85C5" w:rsidR="00FF3D5F" w:rsidRPr="00A544A8" w:rsidRDefault="00FF3D5F" w:rsidP="00FF3D5F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n/a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6CAFF9ED" w14:textId="7134D199" w:rsidR="00FF3D5F" w:rsidRPr="00A544A8" w:rsidRDefault="00FF3D5F" w:rsidP="00FF3D5F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2022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3697D8FF" w14:textId="1259BE51" w:rsidR="00FF3D5F" w:rsidRPr="00A544A8" w:rsidRDefault="00FF3D5F" w:rsidP="00FF3D5F">
            <w:pPr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The Julimar and Brunello fields feed 2.1 trillion cubic feet of gas to the Wheatstone LNG project.</w:t>
            </w:r>
            <w: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 xml:space="preserve"> </w:t>
            </w:r>
            <w:r w:rsidRPr="00CF61D9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 xml:space="preserve">Phase two of the project to tie-back the Julimar field to the existing Brunello subsea infrastructure </w:t>
            </w:r>
            <w: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 xml:space="preserve">was sanctioned in December 2019, with </w:t>
            </w:r>
            <w:r w:rsidRPr="00F424DB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startup expected in the first half of 2022.</w:t>
            </w:r>
          </w:p>
        </w:tc>
      </w:tr>
      <w:tr w:rsidR="00FF3D5F" w:rsidRPr="00CF61D9" w14:paraId="34BD250B" w14:textId="77777777" w:rsidTr="00E62E45">
        <w:trPr>
          <w:trHeight w:val="1123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513080C7" w14:textId="77777777" w:rsidR="00FF3D5F" w:rsidRDefault="00FF3D5F" w:rsidP="00FF3D5F">
            <w:pPr>
              <w:jc w:val="center"/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  <w:t>Greater Western Flank Phase 3 and Lambert Deep</w:t>
            </w:r>
          </w:p>
          <w:p w14:paraId="33274A39" w14:textId="3CE0573E" w:rsidR="00FF3D5F" w:rsidRPr="00CF61D9" w:rsidRDefault="00FF3D5F" w:rsidP="00FF3D5F">
            <w:pPr>
              <w:jc w:val="center"/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bCs/>
                <w:i/>
                <w:iCs/>
                <w:sz w:val="15"/>
                <w:szCs w:val="15"/>
                <w:lang w:eastAsia="en-AU"/>
              </w:rPr>
              <w:t>Development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2F5F0EE7" w14:textId="0BF76056" w:rsidR="00FF3D5F" w:rsidRPr="00CF61D9" w:rsidRDefault="00FF3D5F" w:rsidP="00FF3D5F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see North West Shelf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6CCB88F6" w14:textId="0AFB204E" w:rsidR="00FF3D5F" w:rsidRPr="00A544A8" w:rsidRDefault="00FF3D5F" w:rsidP="00FF3D5F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1.0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5752256D" w14:textId="76F123A1" w:rsidR="00FF3D5F" w:rsidRPr="00A544A8" w:rsidRDefault="00FF3D5F" w:rsidP="00FF3D5F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n/a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05729B58" w14:textId="3FCC5031" w:rsidR="00FF3D5F" w:rsidRPr="00A544A8" w:rsidRDefault="00FF3D5F" w:rsidP="00FF3D5F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2022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1ACC9001" w14:textId="265B30E2" w:rsidR="00FF3D5F" w:rsidRPr="00A544A8" w:rsidRDefault="00FF3D5F" w:rsidP="00FF3D5F">
            <w:pPr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E62E45">
              <w:rPr>
                <w:rFonts w:ascii="Calibri Light" w:hAnsi="Calibri Light" w:cs="Segoe UI"/>
                <w:sz w:val="15"/>
                <w:szCs w:val="15"/>
                <w:lang w:eastAsia="en-AU"/>
              </w:rPr>
              <w:t>The Greater Western Flank Phase 3 and Lambert Deep gas project</w:t>
            </w: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s</w:t>
            </w:r>
            <w:r w:rsidRPr="00E62E45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 involve the drilling and subsea tieback of new production wells to the existing infrastructure of the </w:t>
            </w: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North West Shelf</w:t>
            </w:r>
            <w:r w:rsidRPr="00E62E45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 project.</w:t>
            </w: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 FID was made in January 2020 with first gas expected in 2022.</w:t>
            </w:r>
          </w:p>
        </w:tc>
      </w:tr>
      <w:tr w:rsidR="00FF3D5F" w:rsidRPr="00F645D6" w14:paraId="386EF53E" w14:textId="77777777" w:rsidTr="007A1152">
        <w:trPr>
          <w:trHeight w:val="60"/>
        </w:trPr>
        <w:tc>
          <w:tcPr>
            <w:tcW w:w="10632" w:type="dxa"/>
            <w:gridSpan w:val="6"/>
            <w:tcBorders>
              <w:top w:val="single" w:sz="4" w:space="0" w:color="C0504D" w:themeColor="accent2"/>
            </w:tcBorders>
            <w:shd w:val="clear" w:color="000000" w:fill="FFFFFF"/>
            <w:noWrap/>
            <w:vAlign w:val="center"/>
            <w:hideMark/>
          </w:tcPr>
          <w:p w14:paraId="0598CA3D" w14:textId="77777777" w:rsidR="00FF3D5F" w:rsidRPr="00DA363E" w:rsidRDefault="00FF3D5F" w:rsidP="00FF3D5F">
            <w:pPr>
              <w:spacing w:before="30" w:after="30"/>
              <w:rPr>
                <w:rFonts w:cs="Arial"/>
                <w:sz w:val="8"/>
                <w:szCs w:val="8"/>
              </w:rPr>
            </w:pPr>
          </w:p>
          <w:p w14:paraId="1D188192" w14:textId="54CB441E" w:rsidR="00FF3D5F" w:rsidRPr="00DA363E" w:rsidRDefault="00FF3D5F" w:rsidP="00FF3D5F">
            <w:pPr>
              <w:spacing w:before="30" w:after="30"/>
              <w:rPr>
                <w:rFonts w:cs="Arial"/>
                <w:sz w:val="12"/>
                <w:szCs w:val="12"/>
              </w:rPr>
            </w:pPr>
            <w:r w:rsidRPr="00DA363E">
              <w:rPr>
                <w:rFonts w:cs="Arial"/>
                <w:sz w:val="12"/>
                <w:szCs w:val="12"/>
              </w:rPr>
              <w:t>Capex = capital expenditure; mtpa = million tonnes per annum (export capacity addition); FEED = front-end engineering and design: FID = final investment decision; FLNG = Floating LNG;</w:t>
            </w:r>
            <w:r>
              <w:rPr>
                <w:rFonts w:cs="Arial"/>
                <w:sz w:val="12"/>
                <w:szCs w:val="12"/>
              </w:rPr>
              <w:br/>
            </w:r>
            <w:r w:rsidRPr="00DA363E">
              <w:rPr>
                <w:rFonts w:cs="Arial"/>
                <w:sz w:val="12"/>
                <w:szCs w:val="12"/>
              </w:rPr>
              <w:t>n/a = not applicable.</w:t>
            </w:r>
          </w:p>
          <w:p w14:paraId="09735BAC" w14:textId="15010420" w:rsidR="00FF3D5F" w:rsidRPr="00DA363E" w:rsidRDefault="00FF3D5F" w:rsidP="00FF3D5F">
            <w:pPr>
              <w:spacing w:before="30" w:after="30"/>
              <w:rPr>
                <w:rFonts w:cs="Arial"/>
                <w:sz w:val="12"/>
                <w:szCs w:val="12"/>
              </w:rPr>
            </w:pPr>
            <w:r w:rsidRPr="00DA363E">
              <w:rPr>
                <w:rFonts w:cs="Arial"/>
                <w:sz w:val="12"/>
                <w:szCs w:val="12"/>
              </w:rPr>
              <w:t>Notes: * Capacity refers to the production capacity of LNG facilities in Western Australia.</w:t>
            </w:r>
          </w:p>
          <w:p w14:paraId="502F8226" w14:textId="6307EF34" w:rsidR="00FF3D5F" w:rsidRPr="00DA363E" w:rsidRDefault="00FF3D5F" w:rsidP="00FF3D5F">
            <w:pPr>
              <w:spacing w:before="30" w:after="30"/>
              <w:rPr>
                <w:rFonts w:cs="Arial"/>
                <w:sz w:val="12"/>
                <w:szCs w:val="12"/>
              </w:rPr>
            </w:pPr>
            <w:r w:rsidRPr="00DA363E">
              <w:rPr>
                <w:rFonts w:cs="Arial"/>
                <w:sz w:val="12"/>
                <w:szCs w:val="12"/>
              </w:rPr>
              <w:t>^ JTSI estimate of capital expenditure in Australian dollar terms, taking into account the profile of capital expenditure and movements in the exchange rate across the construction period.</w:t>
            </w:r>
            <w:r>
              <w:rPr>
                <w:rFonts w:cs="Arial"/>
                <w:sz w:val="12"/>
                <w:szCs w:val="12"/>
              </w:rPr>
              <w:br/>
            </w:r>
            <w:r w:rsidRPr="00DA363E">
              <w:rPr>
                <w:rFonts w:cs="Arial"/>
                <w:sz w:val="12"/>
                <w:szCs w:val="12"/>
              </w:rPr>
              <w:t>For Ichthys, the estimate is the capital expenditure in Western Australia.</w:t>
            </w:r>
          </w:p>
          <w:p w14:paraId="49A0C9EA" w14:textId="0B70A8D5" w:rsidR="00FF3D5F" w:rsidRPr="00DA363E" w:rsidRDefault="00FF3D5F" w:rsidP="00FF3D5F">
            <w:pPr>
              <w:rPr>
                <w:rFonts w:cs="Arial"/>
                <w:i/>
                <w:sz w:val="12"/>
                <w:szCs w:val="12"/>
              </w:rPr>
            </w:pPr>
            <w:r w:rsidRPr="00DA363E">
              <w:rPr>
                <w:rFonts w:cs="Arial"/>
                <w:i/>
                <w:sz w:val="12"/>
                <w:szCs w:val="12"/>
              </w:rPr>
              <w:t>Sources: EnergyQuest ‘ Energy Quarterly’, project proponent websites, reports, presentations and media.</w:t>
            </w:r>
          </w:p>
        </w:tc>
      </w:tr>
    </w:tbl>
    <w:p w14:paraId="7706EE7C" w14:textId="77777777" w:rsidR="00DF5DC1" w:rsidRPr="001D2FFF" w:rsidRDefault="00DF5DC1" w:rsidP="00DF5DC1">
      <w:pPr>
        <w:jc w:val="left"/>
        <w:rPr>
          <w:rFonts w:ascii="Calibri Light" w:hAnsi="Calibri Light"/>
          <w:sz w:val="8"/>
        </w:rPr>
      </w:pPr>
    </w:p>
    <w:sectPr w:rsidR="00DF5DC1" w:rsidRPr="001D2FFF" w:rsidSect="007B7647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1907" w:h="16840" w:code="9"/>
      <w:pgMar w:top="1418" w:right="567" w:bottom="993" w:left="709" w:header="709" w:footer="63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3CABF91" w14:textId="77777777" w:rsidR="00F53E24" w:rsidRDefault="00F53E24" w:rsidP="00965C29">
      <w:r>
        <w:separator/>
      </w:r>
    </w:p>
  </w:endnote>
  <w:endnote w:type="continuationSeparator" w:id="0">
    <w:p w14:paraId="114606DD" w14:textId="77777777" w:rsidR="00F53E24" w:rsidRDefault="00F53E24" w:rsidP="00965C29">
      <w:r>
        <w:continuationSeparator/>
      </w:r>
    </w:p>
  </w:endnote>
  <w:endnote w:type="continuationNotice" w:id="1">
    <w:p w14:paraId="05040498" w14:textId="77777777" w:rsidR="00F53E24" w:rsidRDefault="00F53E2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eiryo UI">
    <w:charset w:val="80"/>
    <w:family w:val="swiss"/>
    <w:pitch w:val="variable"/>
    <w:sig w:usb0="E10102FF" w:usb1="EAC7FFFF" w:usb2="0001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321C260" w14:textId="77777777" w:rsidR="00F53E24" w:rsidRDefault="00F53E24">
    <w:pPr>
      <w:pStyle w:val="Footer"/>
    </w:pPr>
  </w:p>
  <w:p w14:paraId="3D683A5C" w14:textId="77777777" w:rsidR="00F53E24" w:rsidRDefault="00F53E2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A11DA74" w14:textId="453850AD" w:rsidR="00F53E24" w:rsidRPr="00FA2975" w:rsidRDefault="00F53E24" w:rsidP="000364AE">
    <w:pPr>
      <w:pStyle w:val="Footer"/>
      <w:tabs>
        <w:tab w:val="right" w:pos="9747"/>
      </w:tabs>
      <w:jc w:val="center"/>
      <w:rPr>
        <w:color w:val="FFFFFF" w:themeColor="background1"/>
        <w:sz w:val="16"/>
        <w:szCs w:val="16"/>
      </w:rPr>
    </w:pPr>
    <w:r w:rsidRPr="009E7549">
      <w:rPr>
        <w:b/>
        <w:noProof/>
        <w:color w:val="D9D9D9" w:themeColor="background1" w:themeShade="D9"/>
        <w:lang w:eastAsia="en-AU"/>
      </w:rPr>
      <w:drawing>
        <wp:anchor distT="0" distB="0" distL="114300" distR="114300" simplePos="0" relativeHeight="251661824" behindDoc="1" locked="0" layoutInCell="1" allowOverlap="1" wp14:anchorId="49F6891A" wp14:editId="0E80D939">
          <wp:simplePos x="0" y="0"/>
          <wp:positionH relativeFrom="page">
            <wp:posOffset>414877</wp:posOffset>
          </wp:positionH>
          <wp:positionV relativeFrom="paragraph">
            <wp:posOffset>8032</wp:posOffset>
          </wp:positionV>
          <wp:extent cx="6781800" cy="109855"/>
          <wp:effectExtent l="0" t="0" r="0" b="4445"/>
          <wp:wrapThrough wrapText="bothSides">
            <wp:wrapPolygon edited="0">
              <wp:start x="0" y="0"/>
              <wp:lineTo x="0" y="18728"/>
              <wp:lineTo x="21479" y="18728"/>
              <wp:lineTo x="21479" y="0"/>
              <wp:lineTo x="0" y="0"/>
            </wp:wrapPolygon>
          </wp:wrapThrough>
          <wp:docPr id="472" name="Picture 472" descr="Bottom graphic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 descr="Bottom graphics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81800" cy="1098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9E7549">
      <w:rPr>
        <w:b/>
        <w:color w:val="D9D9D9" w:themeColor="background1" w:themeShade="D9"/>
        <w:sz w:val="16"/>
        <w:szCs w:val="16"/>
      </w:rPr>
      <w:t>WA LNG Industry Profile</w:t>
    </w:r>
    <w:r>
      <w:rPr>
        <w:color w:val="D9D9D9" w:themeColor="background1" w:themeShade="D9"/>
        <w:sz w:val="16"/>
        <w:szCs w:val="16"/>
      </w:rPr>
      <w:t xml:space="preserve"> </w:t>
    </w:r>
    <w:r w:rsidR="002D7974">
      <w:rPr>
        <w:color w:val="D9D9D9" w:themeColor="background1" w:themeShade="D9"/>
        <w:sz w:val="16"/>
        <w:szCs w:val="16"/>
      </w:rPr>
      <w:t>–</w:t>
    </w:r>
    <w:r>
      <w:rPr>
        <w:color w:val="D9D9D9" w:themeColor="background1" w:themeShade="D9"/>
        <w:sz w:val="16"/>
        <w:szCs w:val="16"/>
      </w:rPr>
      <w:t xml:space="preserve"> </w:t>
    </w:r>
    <w:r w:rsidR="001D7D14">
      <w:rPr>
        <w:color w:val="D9D9D9" w:themeColor="background1" w:themeShade="D9"/>
        <w:sz w:val="16"/>
        <w:szCs w:val="16"/>
      </w:rPr>
      <w:t>September</w:t>
    </w:r>
    <w:r w:rsidR="00AA66B3">
      <w:rPr>
        <w:color w:val="D9D9D9" w:themeColor="background1" w:themeShade="D9"/>
        <w:sz w:val="16"/>
        <w:szCs w:val="16"/>
      </w:rPr>
      <w:t xml:space="preserve"> 2020</w:t>
    </w:r>
    <w:r w:rsidRPr="00FA2975">
      <w:rPr>
        <w:color w:val="FFFFFF" w:themeColor="background1"/>
        <w:sz w:val="16"/>
        <w:szCs w:val="16"/>
      </w:rPr>
      <w:tab/>
    </w:r>
    <w:r w:rsidRPr="009E7549">
      <w:rPr>
        <w:sz w:val="16"/>
        <w:szCs w:val="16"/>
      </w:rPr>
      <w:t xml:space="preserve">Page </w:t>
    </w:r>
    <w:r w:rsidRPr="009E7549">
      <w:rPr>
        <w:sz w:val="16"/>
        <w:szCs w:val="16"/>
      </w:rPr>
      <w:fldChar w:fldCharType="begin"/>
    </w:r>
    <w:r w:rsidRPr="009E7549">
      <w:rPr>
        <w:sz w:val="16"/>
        <w:szCs w:val="16"/>
      </w:rPr>
      <w:instrText xml:space="preserve"> PAGE </w:instrText>
    </w:r>
    <w:r w:rsidRPr="009E7549">
      <w:rPr>
        <w:sz w:val="16"/>
        <w:szCs w:val="16"/>
      </w:rPr>
      <w:fldChar w:fldCharType="separate"/>
    </w:r>
    <w:r w:rsidR="009A3B9B">
      <w:rPr>
        <w:noProof/>
        <w:sz w:val="16"/>
        <w:szCs w:val="16"/>
      </w:rPr>
      <w:t>1</w:t>
    </w:r>
    <w:r w:rsidRPr="009E7549">
      <w:rPr>
        <w:sz w:val="16"/>
        <w:szCs w:val="16"/>
      </w:rPr>
      <w:fldChar w:fldCharType="end"/>
    </w:r>
    <w:r w:rsidRPr="009E7549">
      <w:rPr>
        <w:sz w:val="16"/>
        <w:szCs w:val="16"/>
      </w:rPr>
      <w:t xml:space="preserve"> of </w:t>
    </w:r>
    <w:r w:rsidRPr="009E7549">
      <w:rPr>
        <w:sz w:val="16"/>
        <w:szCs w:val="16"/>
      </w:rPr>
      <w:fldChar w:fldCharType="begin"/>
    </w:r>
    <w:r w:rsidRPr="009E7549">
      <w:rPr>
        <w:sz w:val="16"/>
        <w:szCs w:val="16"/>
      </w:rPr>
      <w:instrText xml:space="preserve"> NUMPAGES </w:instrText>
    </w:r>
    <w:r w:rsidRPr="009E7549">
      <w:rPr>
        <w:sz w:val="16"/>
        <w:szCs w:val="16"/>
      </w:rPr>
      <w:fldChar w:fldCharType="separate"/>
    </w:r>
    <w:r w:rsidR="009A3B9B">
      <w:rPr>
        <w:noProof/>
        <w:sz w:val="16"/>
        <w:szCs w:val="16"/>
      </w:rPr>
      <w:t>4</w:t>
    </w:r>
    <w:r w:rsidRPr="009E7549">
      <w:rPr>
        <w:sz w:val="16"/>
        <w:szCs w:val="16"/>
      </w:rPr>
      <w:fldChar w:fldCharType="end"/>
    </w:r>
    <w:r w:rsidRPr="009E7549">
      <w:rPr>
        <w:sz w:val="16"/>
        <w:szCs w:val="16"/>
      </w:rPr>
      <w:tab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8549033" w14:textId="77777777" w:rsidR="00AA735F" w:rsidRDefault="00AA735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A92217E" w14:textId="77777777" w:rsidR="00F53E24" w:rsidRDefault="00F53E24" w:rsidP="00965C29">
      <w:r>
        <w:separator/>
      </w:r>
    </w:p>
  </w:footnote>
  <w:footnote w:type="continuationSeparator" w:id="0">
    <w:p w14:paraId="75533811" w14:textId="77777777" w:rsidR="00F53E24" w:rsidRDefault="00F53E24" w:rsidP="00965C29">
      <w:r>
        <w:continuationSeparator/>
      </w:r>
    </w:p>
  </w:footnote>
  <w:footnote w:type="continuationNotice" w:id="1">
    <w:p w14:paraId="1284DE21" w14:textId="77777777" w:rsidR="00F53E24" w:rsidRDefault="00F53E24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50C27A8" w14:textId="77777777" w:rsidR="00AA735F" w:rsidRDefault="00AA735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5785063" w14:textId="4C6B6882" w:rsidR="00F53E24" w:rsidRDefault="00F53E24" w:rsidP="00FF6452">
    <w:pPr>
      <w:pStyle w:val="Header"/>
      <w:jc w:val="center"/>
    </w:pPr>
    <w:r>
      <w:rPr>
        <w:noProof/>
        <w:lang w:eastAsia="en-AU"/>
      </w:rPr>
      <mc:AlternateContent>
        <mc:Choice Requires="wps">
          <w:drawing>
            <wp:anchor distT="45720" distB="45720" distL="114300" distR="114300" simplePos="0" relativeHeight="251657216" behindDoc="0" locked="0" layoutInCell="1" allowOverlap="1" wp14:anchorId="47B6469B" wp14:editId="652DBB8D">
              <wp:simplePos x="0" y="0"/>
              <wp:positionH relativeFrom="column">
                <wp:posOffset>4050461</wp:posOffset>
              </wp:positionH>
              <wp:positionV relativeFrom="paragraph">
                <wp:posOffset>10515</wp:posOffset>
              </wp:positionV>
              <wp:extent cx="2084070" cy="1002030"/>
              <wp:effectExtent l="0" t="1905" r="3810" b="0"/>
              <wp:wrapSquare wrapText="bothSides"/>
              <wp:docPr id="20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84070" cy="10020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E09BFD2" w14:textId="77777777" w:rsidR="00F53E24" w:rsidRPr="00041A33" w:rsidRDefault="00F53E24" w:rsidP="007F6E9C">
                          <w:pPr>
                            <w:jc w:val="right"/>
                            <w:rPr>
                              <w:b/>
                              <w:color w:val="FFFFFF"/>
                            </w:rPr>
                          </w:pPr>
                        </w:p>
                        <w:p w14:paraId="771097E7" w14:textId="77777777" w:rsidR="00F53E24" w:rsidRPr="0053099D" w:rsidRDefault="00F53E24" w:rsidP="007F6E9C">
                          <w:pPr>
                            <w:jc w:val="right"/>
                            <w:rPr>
                              <w:b/>
                              <w:color w:val="FFFFFF"/>
                              <w:sz w:val="22"/>
                            </w:rPr>
                          </w:pPr>
                          <w:r w:rsidRPr="0053099D">
                            <w:rPr>
                              <w:b/>
                              <w:color w:val="FFFFFF"/>
                              <w:sz w:val="22"/>
                            </w:rPr>
                            <w:t>Western Australia</w:t>
                          </w:r>
                        </w:p>
                        <w:p w14:paraId="52A07719" w14:textId="52C241CC" w:rsidR="00F53E24" w:rsidRPr="0053099D" w:rsidRDefault="00F53E24" w:rsidP="007F6E9C">
                          <w:pPr>
                            <w:jc w:val="right"/>
                            <w:rPr>
                              <w:b/>
                              <w:color w:val="FFFFFF"/>
                              <w:sz w:val="22"/>
                            </w:rPr>
                          </w:pPr>
                          <w:r>
                            <w:rPr>
                              <w:b/>
                              <w:color w:val="FFFFFF"/>
                              <w:sz w:val="22"/>
                            </w:rPr>
                            <w:t>Liquefied Natural Gas</w:t>
                          </w:r>
                          <w:r w:rsidRPr="0053099D">
                            <w:rPr>
                              <w:b/>
                              <w:color w:val="FFFFFF"/>
                              <w:sz w:val="22"/>
                            </w:rPr>
                            <w:t xml:space="preserve"> Profile</w:t>
                          </w:r>
                        </w:p>
                        <w:p w14:paraId="7105CF6C" w14:textId="54214DDD" w:rsidR="00F53E24" w:rsidRPr="0053099D" w:rsidRDefault="001D7D14" w:rsidP="007F6E9C">
                          <w:pPr>
                            <w:jc w:val="right"/>
                            <w:rPr>
                              <w:color w:val="FFFFFF"/>
                              <w:sz w:val="22"/>
                            </w:rPr>
                          </w:pPr>
                          <w:r>
                            <w:rPr>
                              <w:color w:val="FFFFFF"/>
                              <w:sz w:val="22"/>
                            </w:rPr>
                            <w:t>September</w:t>
                          </w:r>
                          <w:r w:rsidR="00FF703F">
                            <w:rPr>
                              <w:color w:val="FFFFFF"/>
                              <w:sz w:val="22"/>
                            </w:rPr>
                            <w:t xml:space="preserve"> 2020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7B6469B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26" type="#_x0000_t202" style="position:absolute;left:0;text-align:left;margin-left:318.95pt;margin-top:.85pt;width:164.1pt;height:78.9pt;z-index:251657216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" filled="f" stroked="f">
              <v:textbox>
                <w:txbxContent>
                  <w:p w14:paraId="1E09BFD2" w14:textId="77777777" w:rsidR="00F53E24" w:rsidRPr="00041A33" w:rsidRDefault="00F53E24" w:rsidP="007F6E9C">
                    <w:pPr>
                      <w:jc w:val="right"/>
                      <w:rPr>
                        <w:b/>
                        <w:color w:val="FFFFFF"/>
                      </w:rPr>
                    </w:pPr>
                  </w:p>
                  <w:p w14:paraId="771097E7" w14:textId="77777777" w:rsidR="00F53E24" w:rsidRPr="0053099D" w:rsidRDefault="00F53E24" w:rsidP="007F6E9C">
                    <w:pPr>
                      <w:jc w:val="right"/>
                      <w:rPr>
                        <w:b/>
                        <w:color w:val="FFFFFF"/>
                        <w:sz w:val="22"/>
                      </w:rPr>
                    </w:pPr>
                    <w:r w:rsidRPr="0053099D">
                      <w:rPr>
                        <w:b/>
                        <w:color w:val="FFFFFF"/>
                        <w:sz w:val="22"/>
                      </w:rPr>
                      <w:t>Western Australia</w:t>
                    </w:r>
                  </w:p>
                  <w:p w14:paraId="52A07719" w14:textId="52C241CC" w:rsidR="00F53E24" w:rsidRPr="0053099D" w:rsidRDefault="00F53E24" w:rsidP="007F6E9C">
                    <w:pPr>
                      <w:jc w:val="right"/>
                      <w:rPr>
                        <w:b/>
                        <w:color w:val="FFFFFF"/>
                        <w:sz w:val="22"/>
                      </w:rPr>
                    </w:pPr>
                    <w:r>
                      <w:rPr>
                        <w:b/>
                        <w:color w:val="FFFFFF"/>
                        <w:sz w:val="22"/>
                      </w:rPr>
                      <w:t>Liquefied Natural Gas</w:t>
                    </w:r>
                    <w:r w:rsidRPr="0053099D">
                      <w:rPr>
                        <w:b/>
                        <w:color w:val="FFFFFF"/>
                        <w:sz w:val="22"/>
                      </w:rPr>
                      <w:t xml:space="preserve"> Profile</w:t>
                    </w:r>
                  </w:p>
                  <w:p w14:paraId="7105CF6C" w14:textId="54214DDD" w:rsidR="00F53E24" w:rsidRPr="0053099D" w:rsidRDefault="001D7D14" w:rsidP="007F6E9C">
                    <w:pPr>
                      <w:jc w:val="right"/>
                      <w:rPr>
                        <w:color w:val="FFFFFF"/>
                        <w:sz w:val="22"/>
                      </w:rPr>
                    </w:pPr>
                    <w:r>
                      <w:rPr>
                        <w:color w:val="FFFFFF"/>
                        <w:sz w:val="22"/>
                      </w:rPr>
                      <w:t>September</w:t>
                    </w:r>
                    <w:r w:rsidR="00FF703F">
                      <w:rPr>
                        <w:color w:val="FFFFFF"/>
                        <w:sz w:val="22"/>
                      </w:rPr>
                      <w:t xml:space="preserve"> 2020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eastAsia="en-AU"/>
      </w:rPr>
      <w:drawing>
        <wp:inline distT="0" distB="0" distL="0" distR="0" wp14:anchorId="41A5A464" wp14:editId="1E13F174">
          <wp:extent cx="6781165" cy="1104900"/>
          <wp:effectExtent l="0" t="0" r="0" b="0"/>
          <wp:docPr id="471" name="Picture 47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81165" cy="1104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B9BA01A" w14:textId="77777777" w:rsidR="00AA735F" w:rsidRDefault="00AA735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1C0AEAEC"/>
    <w:lvl w:ilvl="0">
      <w:start w:val="1"/>
      <w:numFmt w:val="decimal"/>
      <w:pStyle w:val="ListNumb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8C3212"/>
    <w:lvl w:ilvl="0">
      <w:start w:val="1"/>
      <w:numFmt w:val="decimal"/>
      <w:pStyle w:val="ListNumb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85CEC4DC"/>
    <w:lvl w:ilvl="0">
      <w:start w:val="1"/>
      <w:numFmt w:val="decimal"/>
      <w:pStyle w:val="ListNumb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CFAD21E"/>
    <w:lvl w:ilvl="0">
      <w:start w:val="1"/>
      <w:numFmt w:val="decimal"/>
      <w:pStyle w:val="ListNumb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D62BF24"/>
    <w:lvl w:ilvl="0">
      <w:start w:val="1"/>
      <w:numFmt w:val="bullet"/>
      <w:pStyle w:val="ListBullet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DF26462A"/>
    <w:lvl w:ilvl="0">
      <w:start w:val="1"/>
      <w:numFmt w:val="bullet"/>
      <w:pStyle w:val="ListBullet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1D78D7F6"/>
    <w:lvl w:ilvl="0">
      <w:start w:val="1"/>
      <w:numFmt w:val="bullet"/>
      <w:pStyle w:val="ListBullet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EEF60A04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4808AE0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3372FB0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50C3A14"/>
    <w:multiLevelType w:val="hybridMultilevel"/>
    <w:tmpl w:val="C94E4D6E"/>
    <w:lvl w:ilvl="0" w:tplc="0C090001">
      <w:numFmt w:val="bullet"/>
      <w:lvlText w:val=""/>
      <w:lvlJc w:val="left"/>
      <w:pPr>
        <w:ind w:left="360" w:hanging="360"/>
      </w:pPr>
      <w:rPr>
        <w:rFonts w:ascii="Symbol" w:eastAsia="Times New Roman" w:hAnsi="Symbol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2EB8122E"/>
    <w:multiLevelType w:val="hybridMultilevel"/>
    <w:tmpl w:val="59325E1C"/>
    <w:lvl w:ilvl="0" w:tplc="70AA91CC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B7500E7A">
      <w:start w:val="2014"/>
      <w:numFmt w:val="bullet"/>
      <w:lvlText w:val="-"/>
      <w:lvlJc w:val="left"/>
      <w:pPr>
        <w:ind w:left="1080" w:hanging="360"/>
      </w:pPr>
      <w:rPr>
        <w:rFonts w:ascii="Arial" w:eastAsia="Lucida Sans Unicode" w:hAnsi="Arial" w:cs="Arial" w:hint="default"/>
        <w:sz w:val="16"/>
        <w:szCs w:val="16"/>
      </w:rPr>
    </w:lvl>
    <w:lvl w:ilvl="2" w:tplc="0C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3EFC0FCA"/>
    <w:multiLevelType w:val="hybridMultilevel"/>
    <w:tmpl w:val="2DA80C5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caps w:val="0"/>
        <w:smallCaps w:val="0"/>
        <w:color w:val="000000" w:themeColor="text1"/>
        <w:spacing w:val="10"/>
        <w:sz w:val="16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6743" w14:cap="flat" w14:cmpd="sng" w14:algn="ctr">
          <w14:solidFill>
            <w14:schemeClr w14:val="accent1">
              <w14:alpha w14:val="93500"/>
              <w14:shade w14:val="2500"/>
            </w14:schemeClr>
          </w14:solidFill>
          <w14:prstDash w14:val="solid"/>
          <w14:round/>
        </w14:textOutline>
        <w14:props3d w14:extrusionH="0" w14:contourW="0" w14:prstMaterial="none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CBB6271"/>
    <w:multiLevelType w:val="hybridMultilevel"/>
    <w:tmpl w:val="ABBE3BCA"/>
    <w:lvl w:ilvl="0" w:tplc="C0506D72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  <w:b/>
        <w:caps w:val="0"/>
        <w:smallCaps w:val="0"/>
        <w:color w:val="000000" w:themeColor="text1"/>
        <w:spacing w:val="10"/>
        <w:sz w:val="16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6743" w14:cap="flat" w14:cmpd="sng" w14:algn="ctr">
          <w14:solidFill>
            <w14:schemeClr w14:val="accent1">
              <w14:alpha w14:val="93500"/>
              <w14:shade w14:val="2500"/>
            </w14:schemeClr>
          </w14:solidFill>
          <w14:prstDash w14:val="solid"/>
          <w14:round/>
        </w14:textOutline>
        <w14:props3d w14:extrusionH="0" w14:contourW="0" w14:prstMaterial="none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FC209E8"/>
    <w:multiLevelType w:val="hybridMultilevel"/>
    <w:tmpl w:val="4ACAC08E"/>
    <w:lvl w:ilvl="0" w:tplc="2FB6D084">
      <w:start w:val="2014"/>
      <w:numFmt w:val="bullet"/>
      <w:lvlText w:val="-"/>
      <w:lvlJc w:val="left"/>
      <w:pPr>
        <w:ind w:left="720" w:hanging="360"/>
      </w:pPr>
      <w:rPr>
        <w:rFonts w:ascii="Arial" w:eastAsia="Lucida Sans Unicode" w:hAnsi="Arial" w:cs="Arial" w:hint="default"/>
        <w:b w:val="0"/>
        <w:caps w:val="0"/>
        <w:smallCaps w:val="0"/>
        <w:color w:val="000000" w:themeColor="text1"/>
        <w:spacing w:val="10"/>
        <w:sz w:val="16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6743" w14:cap="flat" w14:cmpd="sng" w14:algn="ctr">
          <w14:solidFill>
            <w14:schemeClr w14:val="accent1">
              <w14:alpha w14:val="93500"/>
              <w14:shade w14:val="2500"/>
            </w14:schemeClr>
          </w14:solidFill>
          <w14:prstDash w14:val="solid"/>
          <w14:round/>
        </w14:textOutline>
        <w14:props3d w14:extrusionH="0" w14:contourW="0" w14:prstMaterial="none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1"/>
  </w:num>
  <w:num w:numId="13">
    <w:abstractNumId w:val="14"/>
  </w:num>
  <w:num w:numId="14">
    <w:abstractNumId w:val="10"/>
  </w:num>
  <w:num w:numId="1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displayBackgroundShape/>
  <w:embedSystemFonts/>
  <w:hideSpellingErrors/>
  <w:hideGrammatical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651265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6FA2"/>
    <w:rsid w:val="00000A67"/>
    <w:rsid w:val="00002BFF"/>
    <w:rsid w:val="00002C25"/>
    <w:rsid w:val="00002CC5"/>
    <w:rsid w:val="00003118"/>
    <w:rsid w:val="00003A35"/>
    <w:rsid w:val="00006F5D"/>
    <w:rsid w:val="00010767"/>
    <w:rsid w:val="00010B8C"/>
    <w:rsid w:val="000110EC"/>
    <w:rsid w:val="00012D70"/>
    <w:rsid w:val="00012EA8"/>
    <w:rsid w:val="000165B4"/>
    <w:rsid w:val="00017445"/>
    <w:rsid w:val="00021BA5"/>
    <w:rsid w:val="00021F55"/>
    <w:rsid w:val="00022C68"/>
    <w:rsid w:val="00023A39"/>
    <w:rsid w:val="00026BFB"/>
    <w:rsid w:val="00030166"/>
    <w:rsid w:val="00031694"/>
    <w:rsid w:val="000318D7"/>
    <w:rsid w:val="00033618"/>
    <w:rsid w:val="00033704"/>
    <w:rsid w:val="00033822"/>
    <w:rsid w:val="000364AE"/>
    <w:rsid w:val="00040391"/>
    <w:rsid w:val="0004064D"/>
    <w:rsid w:val="00040BFB"/>
    <w:rsid w:val="00040D22"/>
    <w:rsid w:val="00044C8D"/>
    <w:rsid w:val="000461B2"/>
    <w:rsid w:val="00046630"/>
    <w:rsid w:val="00053E04"/>
    <w:rsid w:val="00054B8A"/>
    <w:rsid w:val="00055583"/>
    <w:rsid w:val="00055D07"/>
    <w:rsid w:val="00056B73"/>
    <w:rsid w:val="00056F49"/>
    <w:rsid w:val="0005724D"/>
    <w:rsid w:val="00057621"/>
    <w:rsid w:val="000602B6"/>
    <w:rsid w:val="0006093C"/>
    <w:rsid w:val="00061FF6"/>
    <w:rsid w:val="00063268"/>
    <w:rsid w:val="000637BD"/>
    <w:rsid w:val="00065D2B"/>
    <w:rsid w:val="00066A48"/>
    <w:rsid w:val="00066A8B"/>
    <w:rsid w:val="00070FDB"/>
    <w:rsid w:val="000722B9"/>
    <w:rsid w:val="00073F22"/>
    <w:rsid w:val="00074BB6"/>
    <w:rsid w:val="00077756"/>
    <w:rsid w:val="00081D5E"/>
    <w:rsid w:val="00081D68"/>
    <w:rsid w:val="00082707"/>
    <w:rsid w:val="00086862"/>
    <w:rsid w:val="00086A8F"/>
    <w:rsid w:val="00091546"/>
    <w:rsid w:val="00092C7A"/>
    <w:rsid w:val="00092F9F"/>
    <w:rsid w:val="00094AE9"/>
    <w:rsid w:val="00094B9E"/>
    <w:rsid w:val="000A0A0D"/>
    <w:rsid w:val="000A1092"/>
    <w:rsid w:val="000A1A16"/>
    <w:rsid w:val="000A2138"/>
    <w:rsid w:val="000A2302"/>
    <w:rsid w:val="000A318E"/>
    <w:rsid w:val="000A415B"/>
    <w:rsid w:val="000A4DA6"/>
    <w:rsid w:val="000A4E88"/>
    <w:rsid w:val="000A74CD"/>
    <w:rsid w:val="000A79B3"/>
    <w:rsid w:val="000B059B"/>
    <w:rsid w:val="000B2CDF"/>
    <w:rsid w:val="000B2F4C"/>
    <w:rsid w:val="000B2FAF"/>
    <w:rsid w:val="000C41D9"/>
    <w:rsid w:val="000C4277"/>
    <w:rsid w:val="000C78D5"/>
    <w:rsid w:val="000C7CE6"/>
    <w:rsid w:val="000D04B1"/>
    <w:rsid w:val="000D0F0B"/>
    <w:rsid w:val="000D2575"/>
    <w:rsid w:val="000D29FB"/>
    <w:rsid w:val="000D2CEF"/>
    <w:rsid w:val="000D6AF9"/>
    <w:rsid w:val="000D7608"/>
    <w:rsid w:val="000D78EE"/>
    <w:rsid w:val="000D7C84"/>
    <w:rsid w:val="000E1735"/>
    <w:rsid w:val="000E1F69"/>
    <w:rsid w:val="000E5391"/>
    <w:rsid w:val="000E7E95"/>
    <w:rsid w:val="000F22D7"/>
    <w:rsid w:val="000F3502"/>
    <w:rsid w:val="000F59D1"/>
    <w:rsid w:val="000F6C16"/>
    <w:rsid w:val="00101101"/>
    <w:rsid w:val="00101E53"/>
    <w:rsid w:val="00106D53"/>
    <w:rsid w:val="00110DA4"/>
    <w:rsid w:val="0011212F"/>
    <w:rsid w:val="00112BCE"/>
    <w:rsid w:val="00113303"/>
    <w:rsid w:val="001138CB"/>
    <w:rsid w:val="00116AB5"/>
    <w:rsid w:val="00116B0F"/>
    <w:rsid w:val="0011731F"/>
    <w:rsid w:val="00117B70"/>
    <w:rsid w:val="001206C5"/>
    <w:rsid w:val="00120E53"/>
    <w:rsid w:val="001213FC"/>
    <w:rsid w:val="00123905"/>
    <w:rsid w:val="00124498"/>
    <w:rsid w:val="00125AD7"/>
    <w:rsid w:val="00126B2F"/>
    <w:rsid w:val="001270F5"/>
    <w:rsid w:val="0012719D"/>
    <w:rsid w:val="0012719F"/>
    <w:rsid w:val="0013090E"/>
    <w:rsid w:val="001313E3"/>
    <w:rsid w:val="00131728"/>
    <w:rsid w:val="0013362C"/>
    <w:rsid w:val="00134048"/>
    <w:rsid w:val="0013707F"/>
    <w:rsid w:val="001378FF"/>
    <w:rsid w:val="0014027D"/>
    <w:rsid w:val="00140B3D"/>
    <w:rsid w:val="00140C12"/>
    <w:rsid w:val="00142989"/>
    <w:rsid w:val="00143078"/>
    <w:rsid w:val="001441FF"/>
    <w:rsid w:val="001455A0"/>
    <w:rsid w:val="00145C20"/>
    <w:rsid w:val="0014678D"/>
    <w:rsid w:val="00146C72"/>
    <w:rsid w:val="00147137"/>
    <w:rsid w:val="00150B3F"/>
    <w:rsid w:val="0015275E"/>
    <w:rsid w:val="00152FF9"/>
    <w:rsid w:val="001545DE"/>
    <w:rsid w:val="001554BA"/>
    <w:rsid w:val="00157BDE"/>
    <w:rsid w:val="00160F7C"/>
    <w:rsid w:val="00164747"/>
    <w:rsid w:val="001660EA"/>
    <w:rsid w:val="0016611B"/>
    <w:rsid w:val="00166870"/>
    <w:rsid w:val="00167BB7"/>
    <w:rsid w:val="00170285"/>
    <w:rsid w:val="00171CD7"/>
    <w:rsid w:val="00172829"/>
    <w:rsid w:val="00172A59"/>
    <w:rsid w:val="00173FC3"/>
    <w:rsid w:val="001747D5"/>
    <w:rsid w:val="00174A5A"/>
    <w:rsid w:val="00175587"/>
    <w:rsid w:val="00176F28"/>
    <w:rsid w:val="00180791"/>
    <w:rsid w:val="001848BB"/>
    <w:rsid w:val="00186A40"/>
    <w:rsid w:val="0019059A"/>
    <w:rsid w:val="00191813"/>
    <w:rsid w:val="00191E34"/>
    <w:rsid w:val="0019270A"/>
    <w:rsid w:val="00192D3D"/>
    <w:rsid w:val="00194A20"/>
    <w:rsid w:val="00194A64"/>
    <w:rsid w:val="00194BA3"/>
    <w:rsid w:val="001A0D47"/>
    <w:rsid w:val="001A4DBB"/>
    <w:rsid w:val="001A6734"/>
    <w:rsid w:val="001B06CB"/>
    <w:rsid w:val="001B2768"/>
    <w:rsid w:val="001B332E"/>
    <w:rsid w:val="001B4F52"/>
    <w:rsid w:val="001B57AB"/>
    <w:rsid w:val="001B6570"/>
    <w:rsid w:val="001B7424"/>
    <w:rsid w:val="001C0E04"/>
    <w:rsid w:val="001C2560"/>
    <w:rsid w:val="001C3097"/>
    <w:rsid w:val="001C405A"/>
    <w:rsid w:val="001C4311"/>
    <w:rsid w:val="001C4DCB"/>
    <w:rsid w:val="001C66A8"/>
    <w:rsid w:val="001D14C4"/>
    <w:rsid w:val="001D2FFF"/>
    <w:rsid w:val="001D3B26"/>
    <w:rsid w:val="001D7D14"/>
    <w:rsid w:val="001E4DB1"/>
    <w:rsid w:val="001E4E05"/>
    <w:rsid w:val="001E6107"/>
    <w:rsid w:val="001E6FBF"/>
    <w:rsid w:val="001F006A"/>
    <w:rsid w:val="001F15EE"/>
    <w:rsid w:val="001F3E26"/>
    <w:rsid w:val="001F3F01"/>
    <w:rsid w:val="001F4A6E"/>
    <w:rsid w:val="001F5137"/>
    <w:rsid w:val="001F5A1A"/>
    <w:rsid w:val="00200033"/>
    <w:rsid w:val="0020271D"/>
    <w:rsid w:val="002043AD"/>
    <w:rsid w:val="0020722B"/>
    <w:rsid w:val="00210DA0"/>
    <w:rsid w:val="0021125E"/>
    <w:rsid w:val="0021142F"/>
    <w:rsid w:val="00211EE0"/>
    <w:rsid w:val="002131E0"/>
    <w:rsid w:val="0021568F"/>
    <w:rsid w:val="00215C45"/>
    <w:rsid w:val="00215D5D"/>
    <w:rsid w:val="00215E22"/>
    <w:rsid w:val="00217DDE"/>
    <w:rsid w:val="002205EA"/>
    <w:rsid w:val="0022074B"/>
    <w:rsid w:val="00223F39"/>
    <w:rsid w:val="0022453E"/>
    <w:rsid w:val="0022486D"/>
    <w:rsid w:val="00226BE2"/>
    <w:rsid w:val="002273C0"/>
    <w:rsid w:val="00227A2D"/>
    <w:rsid w:val="00227EDF"/>
    <w:rsid w:val="00230DA7"/>
    <w:rsid w:val="0023175D"/>
    <w:rsid w:val="00232001"/>
    <w:rsid w:val="00233481"/>
    <w:rsid w:val="00233935"/>
    <w:rsid w:val="0024253F"/>
    <w:rsid w:val="00243976"/>
    <w:rsid w:val="00246213"/>
    <w:rsid w:val="00246884"/>
    <w:rsid w:val="00256482"/>
    <w:rsid w:val="002564A2"/>
    <w:rsid w:val="00261222"/>
    <w:rsid w:val="00261288"/>
    <w:rsid w:val="00265138"/>
    <w:rsid w:val="002715E9"/>
    <w:rsid w:val="00273974"/>
    <w:rsid w:val="00274AC5"/>
    <w:rsid w:val="0027529E"/>
    <w:rsid w:val="00275713"/>
    <w:rsid w:val="00275769"/>
    <w:rsid w:val="002776AC"/>
    <w:rsid w:val="00281634"/>
    <w:rsid w:val="00281EEB"/>
    <w:rsid w:val="002820A9"/>
    <w:rsid w:val="00282AF3"/>
    <w:rsid w:val="002831E9"/>
    <w:rsid w:val="00284699"/>
    <w:rsid w:val="0028480F"/>
    <w:rsid w:val="00285838"/>
    <w:rsid w:val="00285B6C"/>
    <w:rsid w:val="00286FDC"/>
    <w:rsid w:val="0029273C"/>
    <w:rsid w:val="0029333B"/>
    <w:rsid w:val="002935D1"/>
    <w:rsid w:val="00296634"/>
    <w:rsid w:val="00296CC6"/>
    <w:rsid w:val="002A05AC"/>
    <w:rsid w:val="002A0A09"/>
    <w:rsid w:val="002A3967"/>
    <w:rsid w:val="002A3FFF"/>
    <w:rsid w:val="002A469E"/>
    <w:rsid w:val="002A56E9"/>
    <w:rsid w:val="002A6E53"/>
    <w:rsid w:val="002B270C"/>
    <w:rsid w:val="002B340D"/>
    <w:rsid w:val="002B3709"/>
    <w:rsid w:val="002B4A63"/>
    <w:rsid w:val="002B76DE"/>
    <w:rsid w:val="002C03BB"/>
    <w:rsid w:val="002C327A"/>
    <w:rsid w:val="002C3686"/>
    <w:rsid w:val="002C4174"/>
    <w:rsid w:val="002C4635"/>
    <w:rsid w:val="002C556B"/>
    <w:rsid w:val="002C557B"/>
    <w:rsid w:val="002C591F"/>
    <w:rsid w:val="002C68F7"/>
    <w:rsid w:val="002C7A6E"/>
    <w:rsid w:val="002D1B27"/>
    <w:rsid w:val="002D21C6"/>
    <w:rsid w:val="002D357C"/>
    <w:rsid w:val="002D392B"/>
    <w:rsid w:val="002D5BFF"/>
    <w:rsid w:val="002D5E92"/>
    <w:rsid w:val="002D6390"/>
    <w:rsid w:val="002D68A5"/>
    <w:rsid w:val="002D69AD"/>
    <w:rsid w:val="002D6A59"/>
    <w:rsid w:val="002D7072"/>
    <w:rsid w:val="002D7974"/>
    <w:rsid w:val="002E0AB1"/>
    <w:rsid w:val="002E1EAD"/>
    <w:rsid w:val="002E296C"/>
    <w:rsid w:val="002E2CD4"/>
    <w:rsid w:val="002E2D18"/>
    <w:rsid w:val="002E35A1"/>
    <w:rsid w:val="002E51D9"/>
    <w:rsid w:val="002E73BB"/>
    <w:rsid w:val="002F04B1"/>
    <w:rsid w:val="002F07E0"/>
    <w:rsid w:val="002F1D91"/>
    <w:rsid w:val="002F4BD7"/>
    <w:rsid w:val="002F4D8B"/>
    <w:rsid w:val="002F6024"/>
    <w:rsid w:val="002F74F0"/>
    <w:rsid w:val="002F7FA4"/>
    <w:rsid w:val="00302644"/>
    <w:rsid w:val="0030329D"/>
    <w:rsid w:val="00303B70"/>
    <w:rsid w:val="003041F8"/>
    <w:rsid w:val="00305AC6"/>
    <w:rsid w:val="00307980"/>
    <w:rsid w:val="0031137F"/>
    <w:rsid w:val="003120AA"/>
    <w:rsid w:val="00312E5D"/>
    <w:rsid w:val="003133D0"/>
    <w:rsid w:val="00313967"/>
    <w:rsid w:val="00315637"/>
    <w:rsid w:val="00315894"/>
    <w:rsid w:val="003159EB"/>
    <w:rsid w:val="0031685B"/>
    <w:rsid w:val="00316919"/>
    <w:rsid w:val="00316CDF"/>
    <w:rsid w:val="0032487C"/>
    <w:rsid w:val="003253CC"/>
    <w:rsid w:val="00326121"/>
    <w:rsid w:val="00326797"/>
    <w:rsid w:val="003313FC"/>
    <w:rsid w:val="003319B6"/>
    <w:rsid w:val="00332E60"/>
    <w:rsid w:val="00333D8C"/>
    <w:rsid w:val="00340297"/>
    <w:rsid w:val="003424D0"/>
    <w:rsid w:val="00345266"/>
    <w:rsid w:val="0034568E"/>
    <w:rsid w:val="003464B8"/>
    <w:rsid w:val="00346523"/>
    <w:rsid w:val="00350F4E"/>
    <w:rsid w:val="003537FA"/>
    <w:rsid w:val="00353FF3"/>
    <w:rsid w:val="00355C08"/>
    <w:rsid w:val="00355E9A"/>
    <w:rsid w:val="00356469"/>
    <w:rsid w:val="00356505"/>
    <w:rsid w:val="003613F6"/>
    <w:rsid w:val="00361E81"/>
    <w:rsid w:val="003629C9"/>
    <w:rsid w:val="003632CB"/>
    <w:rsid w:val="00363B7E"/>
    <w:rsid w:val="00363D47"/>
    <w:rsid w:val="00366460"/>
    <w:rsid w:val="00367AE2"/>
    <w:rsid w:val="00367CBB"/>
    <w:rsid w:val="00367DDC"/>
    <w:rsid w:val="003713F4"/>
    <w:rsid w:val="00376D0C"/>
    <w:rsid w:val="00380E1C"/>
    <w:rsid w:val="00381CB2"/>
    <w:rsid w:val="00382F51"/>
    <w:rsid w:val="0038339F"/>
    <w:rsid w:val="003837F7"/>
    <w:rsid w:val="00387607"/>
    <w:rsid w:val="003918EA"/>
    <w:rsid w:val="003948DE"/>
    <w:rsid w:val="00394965"/>
    <w:rsid w:val="00396086"/>
    <w:rsid w:val="00396AD9"/>
    <w:rsid w:val="003A0AEE"/>
    <w:rsid w:val="003A32B1"/>
    <w:rsid w:val="003A44A7"/>
    <w:rsid w:val="003A7290"/>
    <w:rsid w:val="003B0A46"/>
    <w:rsid w:val="003B12E4"/>
    <w:rsid w:val="003B1D5A"/>
    <w:rsid w:val="003B2FE1"/>
    <w:rsid w:val="003B3799"/>
    <w:rsid w:val="003B4ADE"/>
    <w:rsid w:val="003B605B"/>
    <w:rsid w:val="003B67B6"/>
    <w:rsid w:val="003B7770"/>
    <w:rsid w:val="003B77AA"/>
    <w:rsid w:val="003B7B5E"/>
    <w:rsid w:val="003B7B8F"/>
    <w:rsid w:val="003C1A9F"/>
    <w:rsid w:val="003C28D0"/>
    <w:rsid w:val="003C452A"/>
    <w:rsid w:val="003C498C"/>
    <w:rsid w:val="003C4A35"/>
    <w:rsid w:val="003C6BA8"/>
    <w:rsid w:val="003C6E6E"/>
    <w:rsid w:val="003C7BE3"/>
    <w:rsid w:val="003D02D1"/>
    <w:rsid w:val="003D02F4"/>
    <w:rsid w:val="003D1303"/>
    <w:rsid w:val="003D2FF2"/>
    <w:rsid w:val="003D47D8"/>
    <w:rsid w:val="003D4FDD"/>
    <w:rsid w:val="003D7F23"/>
    <w:rsid w:val="003E0E6A"/>
    <w:rsid w:val="003E234A"/>
    <w:rsid w:val="003E2714"/>
    <w:rsid w:val="003E4615"/>
    <w:rsid w:val="003E4D32"/>
    <w:rsid w:val="003E51C2"/>
    <w:rsid w:val="003F0082"/>
    <w:rsid w:val="003F0880"/>
    <w:rsid w:val="003F1912"/>
    <w:rsid w:val="003F34F7"/>
    <w:rsid w:val="003F45DB"/>
    <w:rsid w:val="003F56CA"/>
    <w:rsid w:val="003F690F"/>
    <w:rsid w:val="003F6A18"/>
    <w:rsid w:val="003F7617"/>
    <w:rsid w:val="0040025E"/>
    <w:rsid w:val="00400A72"/>
    <w:rsid w:val="0040144E"/>
    <w:rsid w:val="00404E1C"/>
    <w:rsid w:val="004059A8"/>
    <w:rsid w:val="0041089E"/>
    <w:rsid w:val="00410FBC"/>
    <w:rsid w:val="0041127D"/>
    <w:rsid w:val="00411C04"/>
    <w:rsid w:val="0041358D"/>
    <w:rsid w:val="00414904"/>
    <w:rsid w:val="00414E8B"/>
    <w:rsid w:val="00417B48"/>
    <w:rsid w:val="00420144"/>
    <w:rsid w:val="00420AD6"/>
    <w:rsid w:val="004230A2"/>
    <w:rsid w:val="00424EC4"/>
    <w:rsid w:val="0042522D"/>
    <w:rsid w:val="00430F8D"/>
    <w:rsid w:val="004318A4"/>
    <w:rsid w:val="004320FD"/>
    <w:rsid w:val="00433788"/>
    <w:rsid w:val="00434008"/>
    <w:rsid w:val="00434CE8"/>
    <w:rsid w:val="004350E7"/>
    <w:rsid w:val="00435310"/>
    <w:rsid w:val="004408AA"/>
    <w:rsid w:val="00440BCD"/>
    <w:rsid w:val="00441248"/>
    <w:rsid w:val="00441832"/>
    <w:rsid w:val="004419F5"/>
    <w:rsid w:val="00443CFF"/>
    <w:rsid w:val="00444A02"/>
    <w:rsid w:val="0044516E"/>
    <w:rsid w:val="00445823"/>
    <w:rsid w:val="00447EFF"/>
    <w:rsid w:val="004516BD"/>
    <w:rsid w:val="0045380A"/>
    <w:rsid w:val="00455673"/>
    <w:rsid w:val="00455A56"/>
    <w:rsid w:val="00455DA9"/>
    <w:rsid w:val="00456A88"/>
    <w:rsid w:val="00456EE4"/>
    <w:rsid w:val="00457218"/>
    <w:rsid w:val="00457256"/>
    <w:rsid w:val="004602DF"/>
    <w:rsid w:val="00460491"/>
    <w:rsid w:val="00461BC8"/>
    <w:rsid w:val="00464159"/>
    <w:rsid w:val="0046572E"/>
    <w:rsid w:val="00465BA0"/>
    <w:rsid w:val="00465D27"/>
    <w:rsid w:val="0046603E"/>
    <w:rsid w:val="00466070"/>
    <w:rsid w:val="0046675F"/>
    <w:rsid w:val="00470B7F"/>
    <w:rsid w:val="004714AA"/>
    <w:rsid w:val="00471AE1"/>
    <w:rsid w:val="004745F0"/>
    <w:rsid w:val="004755B3"/>
    <w:rsid w:val="0047571C"/>
    <w:rsid w:val="00475E21"/>
    <w:rsid w:val="004777D3"/>
    <w:rsid w:val="00480738"/>
    <w:rsid w:val="004819D9"/>
    <w:rsid w:val="00481F26"/>
    <w:rsid w:val="004821EE"/>
    <w:rsid w:val="00483F64"/>
    <w:rsid w:val="00484070"/>
    <w:rsid w:val="00484407"/>
    <w:rsid w:val="0048467D"/>
    <w:rsid w:val="00485DFA"/>
    <w:rsid w:val="00487698"/>
    <w:rsid w:val="00490A3E"/>
    <w:rsid w:val="004910DD"/>
    <w:rsid w:val="00491493"/>
    <w:rsid w:val="00491AB8"/>
    <w:rsid w:val="00493267"/>
    <w:rsid w:val="00493872"/>
    <w:rsid w:val="00493CF0"/>
    <w:rsid w:val="00495783"/>
    <w:rsid w:val="00495C6C"/>
    <w:rsid w:val="00495CF8"/>
    <w:rsid w:val="00495D3B"/>
    <w:rsid w:val="00496EFD"/>
    <w:rsid w:val="00497354"/>
    <w:rsid w:val="0049795C"/>
    <w:rsid w:val="004A1037"/>
    <w:rsid w:val="004A1817"/>
    <w:rsid w:val="004A53F3"/>
    <w:rsid w:val="004A5AB2"/>
    <w:rsid w:val="004A5AD1"/>
    <w:rsid w:val="004B22AE"/>
    <w:rsid w:val="004B28A1"/>
    <w:rsid w:val="004B2EAE"/>
    <w:rsid w:val="004B4661"/>
    <w:rsid w:val="004B5148"/>
    <w:rsid w:val="004B567D"/>
    <w:rsid w:val="004B6622"/>
    <w:rsid w:val="004C08EC"/>
    <w:rsid w:val="004C11B1"/>
    <w:rsid w:val="004C15FE"/>
    <w:rsid w:val="004C1729"/>
    <w:rsid w:val="004C266C"/>
    <w:rsid w:val="004C575D"/>
    <w:rsid w:val="004C60F1"/>
    <w:rsid w:val="004C6675"/>
    <w:rsid w:val="004C66FC"/>
    <w:rsid w:val="004C6B2B"/>
    <w:rsid w:val="004C7138"/>
    <w:rsid w:val="004D2274"/>
    <w:rsid w:val="004D418D"/>
    <w:rsid w:val="004D5400"/>
    <w:rsid w:val="004E1AC1"/>
    <w:rsid w:val="004E1EE1"/>
    <w:rsid w:val="004E245A"/>
    <w:rsid w:val="004E4E68"/>
    <w:rsid w:val="004E4F53"/>
    <w:rsid w:val="004E7C31"/>
    <w:rsid w:val="004E7DF3"/>
    <w:rsid w:val="004F1203"/>
    <w:rsid w:val="004F3342"/>
    <w:rsid w:val="004F33CC"/>
    <w:rsid w:val="004F3ED3"/>
    <w:rsid w:val="004F4CC0"/>
    <w:rsid w:val="004F68FE"/>
    <w:rsid w:val="004F6A59"/>
    <w:rsid w:val="00500E2F"/>
    <w:rsid w:val="005012D0"/>
    <w:rsid w:val="0050161E"/>
    <w:rsid w:val="00501E1C"/>
    <w:rsid w:val="00502A5E"/>
    <w:rsid w:val="00502E76"/>
    <w:rsid w:val="00503202"/>
    <w:rsid w:val="005048D3"/>
    <w:rsid w:val="005054E9"/>
    <w:rsid w:val="00507BDE"/>
    <w:rsid w:val="00513127"/>
    <w:rsid w:val="005162E4"/>
    <w:rsid w:val="005206B0"/>
    <w:rsid w:val="00524BAB"/>
    <w:rsid w:val="00525DF5"/>
    <w:rsid w:val="005266A4"/>
    <w:rsid w:val="0053058E"/>
    <w:rsid w:val="00534210"/>
    <w:rsid w:val="00534C58"/>
    <w:rsid w:val="005351C7"/>
    <w:rsid w:val="00535E1D"/>
    <w:rsid w:val="00536493"/>
    <w:rsid w:val="00536CEF"/>
    <w:rsid w:val="00536FA0"/>
    <w:rsid w:val="00537111"/>
    <w:rsid w:val="00540796"/>
    <w:rsid w:val="0054087C"/>
    <w:rsid w:val="00541877"/>
    <w:rsid w:val="00541939"/>
    <w:rsid w:val="0054534A"/>
    <w:rsid w:val="00551A3F"/>
    <w:rsid w:val="005528CC"/>
    <w:rsid w:val="005543FC"/>
    <w:rsid w:val="00554A13"/>
    <w:rsid w:val="005563EB"/>
    <w:rsid w:val="00556BC8"/>
    <w:rsid w:val="005571A0"/>
    <w:rsid w:val="00560014"/>
    <w:rsid w:val="0056073A"/>
    <w:rsid w:val="0056364C"/>
    <w:rsid w:val="00563C7D"/>
    <w:rsid w:val="00564D52"/>
    <w:rsid w:val="00567FEF"/>
    <w:rsid w:val="00572A3E"/>
    <w:rsid w:val="00573ABC"/>
    <w:rsid w:val="005744D0"/>
    <w:rsid w:val="00575632"/>
    <w:rsid w:val="0057766E"/>
    <w:rsid w:val="00582666"/>
    <w:rsid w:val="00583145"/>
    <w:rsid w:val="00584321"/>
    <w:rsid w:val="00584FF9"/>
    <w:rsid w:val="00585247"/>
    <w:rsid w:val="0058592D"/>
    <w:rsid w:val="00585B85"/>
    <w:rsid w:val="00585D2C"/>
    <w:rsid w:val="0058713C"/>
    <w:rsid w:val="00587A65"/>
    <w:rsid w:val="00587D5E"/>
    <w:rsid w:val="00590050"/>
    <w:rsid w:val="005909F0"/>
    <w:rsid w:val="00591137"/>
    <w:rsid w:val="0059161E"/>
    <w:rsid w:val="00591E0B"/>
    <w:rsid w:val="00593E53"/>
    <w:rsid w:val="005961C6"/>
    <w:rsid w:val="00596FD5"/>
    <w:rsid w:val="0059736F"/>
    <w:rsid w:val="005A12BC"/>
    <w:rsid w:val="005A1390"/>
    <w:rsid w:val="005A64A9"/>
    <w:rsid w:val="005A7D6F"/>
    <w:rsid w:val="005A7EF5"/>
    <w:rsid w:val="005B10B3"/>
    <w:rsid w:val="005B15D4"/>
    <w:rsid w:val="005B1D00"/>
    <w:rsid w:val="005B2BA8"/>
    <w:rsid w:val="005B3BBE"/>
    <w:rsid w:val="005B4CF7"/>
    <w:rsid w:val="005B7D90"/>
    <w:rsid w:val="005C0474"/>
    <w:rsid w:val="005C0544"/>
    <w:rsid w:val="005C1150"/>
    <w:rsid w:val="005C2B73"/>
    <w:rsid w:val="005C35C9"/>
    <w:rsid w:val="005C3BF4"/>
    <w:rsid w:val="005C45CC"/>
    <w:rsid w:val="005C53E0"/>
    <w:rsid w:val="005C5E23"/>
    <w:rsid w:val="005C6583"/>
    <w:rsid w:val="005C6A3D"/>
    <w:rsid w:val="005D0812"/>
    <w:rsid w:val="005D24A7"/>
    <w:rsid w:val="005D2B3B"/>
    <w:rsid w:val="005D3F2B"/>
    <w:rsid w:val="005D41DE"/>
    <w:rsid w:val="005D5886"/>
    <w:rsid w:val="005D589A"/>
    <w:rsid w:val="005E12C7"/>
    <w:rsid w:val="005E2186"/>
    <w:rsid w:val="005E2BFD"/>
    <w:rsid w:val="005E7684"/>
    <w:rsid w:val="005E7FF4"/>
    <w:rsid w:val="005F0E0A"/>
    <w:rsid w:val="005F2B2E"/>
    <w:rsid w:val="005F33DF"/>
    <w:rsid w:val="005F6785"/>
    <w:rsid w:val="005F7EA5"/>
    <w:rsid w:val="006001D7"/>
    <w:rsid w:val="00600601"/>
    <w:rsid w:val="0060149C"/>
    <w:rsid w:val="0060414E"/>
    <w:rsid w:val="00604FC3"/>
    <w:rsid w:val="00605FA3"/>
    <w:rsid w:val="00606C79"/>
    <w:rsid w:val="00612AD2"/>
    <w:rsid w:val="00613024"/>
    <w:rsid w:val="00613503"/>
    <w:rsid w:val="006141A8"/>
    <w:rsid w:val="00614B4C"/>
    <w:rsid w:val="00615DE3"/>
    <w:rsid w:val="00616681"/>
    <w:rsid w:val="00617801"/>
    <w:rsid w:val="006209CC"/>
    <w:rsid w:val="00621508"/>
    <w:rsid w:val="00622FEE"/>
    <w:rsid w:val="0062492A"/>
    <w:rsid w:val="006273BA"/>
    <w:rsid w:val="00627CEC"/>
    <w:rsid w:val="006310C7"/>
    <w:rsid w:val="0063131C"/>
    <w:rsid w:val="006334A7"/>
    <w:rsid w:val="0063351F"/>
    <w:rsid w:val="00633FCB"/>
    <w:rsid w:val="0063507C"/>
    <w:rsid w:val="0063583C"/>
    <w:rsid w:val="0063691B"/>
    <w:rsid w:val="0064112F"/>
    <w:rsid w:val="00644FD2"/>
    <w:rsid w:val="006459CA"/>
    <w:rsid w:val="006463BA"/>
    <w:rsid w:val="00646E5A"/>
    <w:rsid w:val="00647AA4"/>
    <w:rsid w:val="00647DCD"/>
    <w:rsid w:val="0065094A"/>
    <w:rsid w:val="006548FA"/>
    <w:rsid w:val="00661305"/>
    <w:rsid w:val="006644DF"/>
    <w:rsid w:val="00664BEB"/>
    <w:rsid w:val="0066692C"/>
    <w:rsid w:val="0066708B"/>
    <w:rsid w:val="00670332"/>
    <w:rsid w:val="00671746"/>
    <w:rsid w:val="00671CDC"/>
    <w:rsid w:val="00671DB2"/>
    <w:rsid w:val="0067289D"/>
    <w:rsid w:val="006744F2"/>
    <w:rsid w:val="00675FA1"/>
    <w:rsid w:val="0067689A"/>
    <w:rsid w:val="00676B2F"/>
    <w:rsid w:val="0067767B"/>
    <w:rsid w:val="00677AC8"/>
    <w:rsid w:val="00682420"/>
    <w:rsid w:val="006842A3"/>
    <w:rsid w:val="006855A7"/>
    <w:rsid w:val="0068781B"/>
    <w:rsid w:val="00695B94"/>
    <w:rsid w:val="0069776D"/>
    <w:rsid w:val="006A0753"/>
    <w:rsid w:val="006A1BD2"/>
    <w:rsid w:val="006A2CEC"/>
    <w:rsid w:val="006A44EF"/>
    <w:rsid w:val="006A4704"/>
    <w:rsid w:val="006A4B6B"/>
    <w:rsid w:val="006A5337"/>
    <w:rsid w:val="006A7520"/>
    <w:rsid w:val="006A7913"/>
    <w:rsid w:val="006A7D25"/>
    <w:rsid w:val="006B0DF9"/>
    <w:rsid w:val="006B2971"/>
    <w:rsid w:val="006B3C0C"/>
    <w:rsid w:val="006B45CE"/>
    <w:rsid w:val="006B4AB6"/>
    <w:rsid w:val="006B67F5"/>
    <w:rsid w:val="006B6895"/>
    <w:rsid w:val="006B7417"/>
    <w:rsid w:val="006B78AA"/>
    <w:rsid w:val="006C0A30"/>
    <w:rsid w:val="006C14C8"/>
    <w:rsid w:val="006C6C1E"/>
    <w:rsid w:val="006C769E"/>
    <w:rsid w:val="006D313F"/>
    <w:rsid w:val="006D35CF"/>
    <w:rsid w:val="006D4020"/>
    <w:rsid w:val="006D41DF"/>
    <w:rsid w:val="006D4786"/>
    <w:rsid w:val="006D4D87"/>
    <w:rsid w:val="006D5625"/>
    <w:rsid w:val="006D70C8"/>
    <w:rsid w:val="006E0FA9"/>
    <w:rsid w:val="006E27ED"/>
    <w:rsid w:val="006E2A14"/>
    <w:rsid w:val="006E3070"/>
    <w:rsid w:val="006E48E0"/>
    <w:rsid w:val="006F03E2"/>
    <w:rsid w:val="006F0B4F"/>
    <w:rsid w:val="006F0B67"/>
    <w:rsid w:val="006F5203"/>
    <w:rsid w:val="006F73B7"/>
    <w:rsid w:val="007000FD"/>
    <w:rsid w:val="00700149"/>
    <w:rsid w:val="00700AAB"/>
    <w:rsid w:val="00701247"/>
    <w:rsid w:val="007017BF"/>
    <w:rsid w:val="007022EB"/>
    <w:rsid w:val="00703913"/>
    <w:rsid w:val="00706217"/>
    <w:rsid w:val="00707330"/>
    <w:rsid w:val="0070781D"/>
    <w:rsid w:val="00710EF1"/>
    <w:rsid w:val="00712564"/>
    <w:rsid w:val="007135C4"/>
    <w:rsid w:val="0071435A"/>
    <w:rsid w:val="00715414"/>
    <w:rsid w:val="00715C19"/>
    <w:rsid w:val="007172AC"/>
    <w:rsid w:val="00717A03"/>
    <w:rsid w:val="00720567"/>
    <w:rsid w:val="00722129"/>
    <w:rsid w:val="00722AB1"/>
    <w:rsid w:val="007242FA"/>
    <w:rsid w:val="00724A60"/>
    <w:rsid w:val="00726E44"/>
    <w:rsid w:val="0072752E"/>
    <w:rsid w:val="00730368"/>
    <w:rsid w:val="007312F3"/>
    <w:rsid w:val="007324AB"/>
    <w:rsid w:val="00733CFE"/>
    <w:rsid w:val="00735011"/>
    <w:rsid w:val="0074061E"/>
    <w:rsid w:val="00740E93"/>
    <w:rsid w:val="007418EA"/>
    <w:rsid w:val="00742191"/>
    <w:rsid w:val="007432A5"/>
    <w:rsid w:val="00744E1E"/>
    <w:rsid w:val="007450B7"/>
    <w:rsid w:val="00747C5F"/>
    <w:rsid w:val="007503C5"/>
    <w:rsid w:val="00750CE4"/>
    <w:rsid w:val="00750DA9"/>
    <w:rsid w:val="0075155E"/>
    <w:rsid w:val="00752162"/>
    <w:rsid w:val="00752757"/>
    <w:rsid w:val="00753B6D"/>
    <w:rsid w:val="007545B3"/>
    <w:rsid w:val="00755B43"/>
    <w:rsid w:val="007568AD"/>
    <w:rsid w:val="0076098F"/>
    <w:rsid w:val="0076524E"/>
    <w:rsid w:val="00766347"/>
    <w:rsid w:val="00767F12"/>
    <w:rsid w:val="0077027D"/>
    <w:rsid w:val="00770AE6"/>
    <w:rsid w:val="00771028"/>
    <w:rsid w:val="007716FB"/>
    <w:rsid w:val="0077227D"/>
    <w:rsid w:val="007724BB"/>
    <w:rsid w:val="00772C29"/>
    <w:rsid w:val="00772C7D"/>
    <w:rsid w:val="00773449"/>
    <w:rsid w:val="00776134"/>
    <w:rsid w:val="007766AA"/>
    <w:rsid w:val="00776774"/>
    <w:rsid w:val="00776E04"/>
    <w:rsid w:val="0077727D"/>
    <w:rsid w:val="00777337"/>
    <w:rsid w:val="00781E00"/>
    <w:rsid w:val="00783580"/>
    <w:rsid w:val="00784184"/>
    <w:rsid w:val="00784309"/>
    <w:rsid w:val="00784457"/>
    <w:rsid w:val="00785586"/>
    <w:rsid w:val="0078632E"/>
    <w:rsid w:val="00786468"/>
    <w:rsid w:val="0078758F"/>
    <w:rsid w:val="00790821"/>
    <w:rsid w:val="007931AD"/>
    <w:rsid w:val="00794587"/>
    <w:rsid w:val="00796720"/>
    <w:rsid w:val="00797017"/>
    <w:rsid w:val="007A0E3F"/>
    <w:rsid w:val="007A1152"/>
    <w:rsid w:val="007A2E7B"/>
    <w:rsid w:val="007A3A38"/>
    <w:rsid w:val="007A3AB5"/>
    <w:rsid w:val="007A54FE"/>
    <w:rsid w:val="007A798D"/>
    <w:rsid w:val="007A7A2A"/>
    <w:rsid w:val="007A7B26"/>
    <w:rsid w:val="007B0BD4"/>
    <w:rsid w:val="007B1694"/>
    <w:rsid w:val="007B2D88"/>
    <w:rsid w:val="007B37D4"/>
    <w:rsid w:val="007B4783"/>
    <w:rsid w:val="007B47A3"/>
    <w:rsid w:val="007B4C64"/>
    <w:rsid w:val="007B680C"/>
    <w:rsid w:val="007B6ED5"/>
    <w:rsid w:val="007B7647"/>
    <w:rsid w:val="007C00C0"/>
    <w:rsid w:val="007C0BE5"/>
    <w:rsid w:val="007C275F"/>
    <w:rsid w:val="007C2A78"/>
    <w:rsid w:val="007C2F6F"/>
    <w:rsid w:val="007D02F2"/>
    <w:rsid w:val="007D08D0"/>
    <w:rsid w:val="007D1EE0"/>
    <w:rsid w:val="007D26B2"/>
    <w:rsid w:val="007D3FCB"/>
    <w:rsid w:val="007D685A"/>
    <w:rsid w:val="007D716C"/>
    <w:rsid w:val="007E01C5"/>
    <w:rsid w:val="007E2FD6"/>
    <w:rsid w:val="007E3B53"/>
    <w:rsid w:val="007E4DFD"/>
    <w:rsid w:val="007E5360"/>
    <w:rsid w:val="007E6B5E"/>
    <w:rsid w:val="007E6D36"/>
    <w:rsid w:val="007E7285"/>
    <w:rsid w:val="007E7E5A"/>
    <w:rsid w:val="007F0CB0"/>
    <w:rsid w:val="007F1E97"/>
    <w:rsid w:val="007F58CD"/>
    <w:rsid w:val="007F5C8B"/>
    <w:rsid w:val="007F6E9C"/>
    <w:rsid w:val="00800764"/>
    <w:rsid w:val="00801768"/>
    <w:rsid w:val="008050BA"/>
    <w:rsid w:val="0080564F"/>
    <w:rsid w:val="00806FA2"/>
    <w:rsid w:val="008072A7"/>
    <w:rsid w:val="0081223D"/>
    <w:rsid w:val="00813495"/>
    <w:rsid w:val="00815A24"/>
    <w:rsid w:val="00816271"/>
    <w:rsid w:val="008168D3"/>
    <w:rsid w:val="00816E8F"/>
    <w:rsid w:val="00822DD2"/>
    <w:rsid w:val="00826466"/>
    <w:rsid w:val="0082673B"/>
    <w:rsid w:val="00830A7B"/>
    <w:rsid w:val="008313E9"/>
    <w:rsid w:val="00831C6C"/>
    <w:rsid w:val="0083420C"/>
    <w:rsid w:val="0083462C"/>
    <w:rsid w:val="008401CE"/>
    <w:rsid w:val="008403AF"/>
    <w:rsid w:val="00841128"/>
    <w:rsid w:val="00841CE8"/>
    <w:rsid w:val="0084311B"/>
    <w:rsid w:val="008438CC"/>
    <w:rsid w:val="00846A55"/>
    <w:rsid w:val="00846D8C"/>
    <w:rsid w:val="00850243"/>
    <w:rsid w:val="00851385"/>
    <w:rsid w:val="00862ABA"/>
    <w:rsid w:val="00862E04"/>
    <w:rsid w:val="00863331"/>
    <w:rsid w:val="0086565A"/>
    <w:rsid w:val="00865FC3"/>
    <w:rsid w:val="00866BAD"/>
    <w:rsid w:val="00867994"/>
    <w:rsid w:val="008713E5"/>
    <w:rsid w:val="008723CE"/>
    <w:rsid w:val="0087373A"/>
    <w:rsid w:val="00874FE3"/>
    <w:rsid w:val="00875E58"/>
    <w:rsid w:val="00877169"/>
    <w:rsid w:val="00881265"/>
    <w:rsid w:val="0088227E"/>
    <w:rsid w:val="0088244C"/>
    <w:rsid w:val="00882802"/>
    <w:rsid w:val="00883403"/>
    <w:rsid w:val="0088354C"/>
    <w:rsid w:val="0088432B"/>
    <w:rsid w:val="00886BC2"/>
    <w:rsid w:val="008906C4"/>
    <w:rsid w:val="00891706"/>
    <w:rsid w:val="008917B3"/>
    <w:rsid w:val="008935A2"/>
    <w:rsid w:val="008941B4"/>
    <w:rsid w:val="00894FEE"/>
    <w:rsid w:val="00896FEB"/>
    <w:rsid w:val="00897B3D"/>
    <w:rsid w:val="008A127B"/>
    <w:rsid w:val="008A5621"/>
    <w:rsid w:val="008A6288"/>
    <w:rsid w:val="008A62BE"/>
    <w:rsid w:val="008B1194"/>
    <w:rsid w:val="008B558E"/>
    <w:rsid w:val="008B5974"/>
    <w:rsid w:val="008B64EF"/>
    <w:rsid w:val="008B6F8A"/>
    <w:rsid w:val="008C0036"/>
    <w:rsid w:val="008C034F"/>
    <w:rsid w:val="008C03C5"/>
    <w:rsid w:val="008C2661"/>
    <w:rsid w:val="008C3536"/>
    <w:rsid w:val="008C44CB"/>
    <w:rsid w:val="008C4FD9"/>
    <w:rsid w:val="008C7DDA"/>
    <w:rsid w:val="008D02C9"/>
    <w:rsid w:val="008D094C"/>
    <w:rsid w:val="008D27D0"/>
    <w:rsid w:val="008D28FA"/>
    <w:rsid w:val="008D352C"/>
    <w:rsid w:val="008D3647"/>
    <w:rsid w:val="008D4A38"/>
    <w:rsid w:val="008D5485"/>
    <w:rsid w:val="008D5A7A"/>
    <w:rsid w:val="008E048C"/>
    <w:rsid w:val="008E319A"/>
    <w:rsid w:val="008E3968"/>
    <w:rsid w:val="008E3C7B"/>
    <w:rsid w:val="008E4951"/>
    <w:rsid w:val="008E5824"/>
    <w:rsid w:val="008F3C32"/>
    <w:rsid w:val="008F59EF"/>
    <w:rsid w:val="008F72F0"/>
    <w:rsid w:val="00900332"/>
    <w:rsid w:val="00902EF7"/>
    <w:rsid w:val="00903020"/>
    <w:rsid w:val="00904F74"/>
    <w:rsid w:val="00912DB6"/>
    <w:rsid w:val="009150BE"/>
    <w:rsid w:val="009157CB"/>
    <w:rsid w:val="0091625A"/>
    <w:rsid w:val="0091705C"/>
    <w:rsid w:val="009204F1"/>
    <w:rsid w:val="00922C61"/>
    <w:rsid w:val="00925946"/>
    <w:rsid w:val="009264C3"/>
    <w:rsid w:val="00930575"/>
    <w:rsid w:val="009305B1"/>
    <w:rsid w:val="0093138B"/>
    <w:rsid w:val="00932EFA"/>
    <w:rsid w:val="009331C1"/>
    <w:rsid w:val="00934FC6"/>
    <w:rsid w:val="00935C75"/>
    <w:rsid w:val="00936550"/>
    <w:rsid w:val="00937F7A"/>
    <w:rsid w:val="009400F2"/>
    <w:rsid w:val="0094123D"/>
    <w:rsid w:val="00943082"/>
    <w:rsid w:val="00944102"/>
    <w:rsid w:val="0094437D"/>
    <w:rsid w:val="009463E6"/>
    <w:rsid w:val="009470B5"/>
    <w:rsid w:val="00951B0A"/>
    <w:rsid w:val="00952BF1"/>
    <w:rsid w:val="00952F8A"/>
    <w:rsid w:val="00954F0A"/>
    <w:rsid w:val="00956FC1"/>
    <w:rsid w:val="00957276"/>
    <w:rsid w:val="00957301"/>
    <w:rsid w:val="009578E3"/>
    <w:rsid w:val="00957E4F"/>
    <w:rsid w:val="0096044F"/>
    <w:rsid w:val="009632A1"/>
    <w:rsid w:val="00965C29"/>
    <w:rsid w:val="00965FD0"/>
    <w:rsid w:val="00967683"/>
    <w:rsid w:val="009678A2"/>
    <w:rsid w:val="009702CA"/>
    <w:rsid w:val="00971172"/>
    <w:rsid w:val="00973AF9"/>
    <w:rsid w:val="009746CD"/>
    <w:rsid w:val="00974D86"/>
    <w:rsid w:val="00974ED9"/>
    <w:rsid w:val="009757DB"/>
    <w:rsid w:val="00977362"/>
    <w:rsid w:val="00977BAC"/>
    <w:rsid w:val="0098348E"/>
    <w:rsid w:val="00984F92"/>
    <w:rsid w:val="00990BF3"/>
    <w:rsid w:val="00991117"/>
    <w:rsid w:val="00991DAF"/>
    <w:rsid w:val="009921E3"/>
    <w:rsid w:val="00994425"/>
    <w:rsid w:val="0099670E"/>
    <w:rsid w:val="00996E0A"/>
    <w:rsid w:val="009A0B4A"/>
    <w:rsid w:val="009A1BC1"/>
    <w:rsid w:val="009A2C8B"/>
    <w:rsid w:val="009A3892"/>
    <w:rsid w:val="009A3B9B"/>
    <w:rsid w:val="009A5FB6"/>
    <w:rsid w:val="009A6298"/>
    <w:rsid w:val="009A6E13"/>
    <w:rsid w:val="009A6FCD"/>
    <w:rsid w:val="009A76DC"/>
    <w:rsid w:val="009B0F53"/>
    <w:rsid w:val="009B23ED"/>
    <w:rsid w:val="009B38BD"/>
    <w:rsid w:val="009B3E8A"/>
    <w:rsid w:val="009B565E"/>
    <w:rsid w:val="009B62C1"/>
    <w:rsid w:val="009B6735"/>
    <w:rsid w:val="009C06EB"/>
    <w:rsid w:val="009C1D9A"/>
    <w:rsid w:val="009C24C7"/>
    <w:rsid w:val="009C30A6"/>
    <w:rsid w:val="009C3BF2"/>
    <w:rsid w:val="009C42F0"/>
    <w:rsid w:val="009C458D"/>
    <w:rsid w:val="009C557D"/>
    <w:rsid w:val="009D01A7"/>
    <w:rsid w:val="009D04FE"/>
    <w:rsid w:val="009D239E"/>
    <w:rsid w:val="009D3A2E"/>
    <w:rsid w:val="009D424C"/>
    <w:rsid w:val="009D4897"/>
    <w:rsid w:val="009D55BE"/>
    <w:rsid w:val="009D79AC"/>
    <w:rsid w:val="009E11A2"/>
    <w:rsid w:val="009E2AD4"/>
    <w:rsid w:val="009E4641"/>
    <w:rsid w:val="009E4ED6"/>
    <w:rsid w:val="009E54DF"/>
    <w:rsid w:val="009E6523"/>
    <w:rsid w:val="009E678E"/>
    <w:rsid w:val="009E74F1"/>
    <w:rsid w:val="009E7549"/>
    <w:rsid w:val="009F0AC8"/>
    <w:rsid w:val="009F0F7B"/>
    <w:rsid w:val="009F2A61"/>
    <w:rsid w:val="009F3A05"/>
    <w:rsid w:val="009F3E11"/>
    <w:rsid w:val="009F58BB"/>
    <w:rsid w:val="009F612D"/>
    <w:rsid w:val="009F62EC"/>
    <w:rsid w:val="009F73DD"/>
    <w:rsid w:val="00A0031C"/>
    <w:rsid w:val="00A0117D"/>
    <w:rsid w:val="00A02D62"/>
    <w:rsid w:val="00A140A1"/>
    <w:rsid w:val="00A15176"/>
    <w:rsid w:val="00A174E6"/>
    <w:rsid w:val="00A20BF5"/>
    <w:rsid w:val="00A211EB"/>
    <w:rsid w:val="00A21BCD"/>
    <w:rsid w:val="00A224C3"/>
    <w:rsid w:val="00A228DE"/>
    <w:rsid w:val="00A239E7"/>
    <w:rsid w:val="00A23EFC"/>
    <w:rsid w:val="00A245B1"/>
    <w:rsid w:val="00A25B77"/>
    <w:rsid w:val="00A26E3D"/>
    <w:rsid w:val="00A27AC1"/>
    <w:rsid w:val="00A3402A"/>
    <w:rsid w:val="00A34FFD"/>
    <w:rsid w:val="00A372BA"/>
    <w:rsid w:val="00A37C4C"/>
    <w:rsid w:val="00A40536"/>
    <w:rsid w:val="00A408DA"/>
    <w:rsid w:val="00A40B0D"/>
    <w:rsid w:val="00A41560"/>
    <w:rsid w:val="00A45219"/>
    <w:rsid w:val="00A45A31"/>
    <w:rsid w:val="00A46971"/>
    <w:rsid w:val="00A46A7A"/>
    <w:rsid w:val="00A46DBD"/>
    <w:rsid w:val="00A52886"/>
    <w:rsid w:val="00A544A8"/>
    <w:rsid w:val="00A5462F"/>
    <w:rsid w:val="00A54B3A"/>
    <w:rsid w:val="00A555C6"/>
    <w:rsid w:val="00A5560C"/>
    <w:rsid w:val="00A55C4B"/>
    <w:rsid w:val="00A566B4"/>
    <w:rsid w:val="00A569C4"/>
    <w:rsid w:val="00A60A29"/>
    <w:rsid w:val="00A60A56"/>
    <w:rsid w:val="00A60D8F"/>
    <w:rsid w:val="00A61ADB"/>
    <w:rsid w:val="00A61C58"/>
    <w:rsid w:val="00A63973"/>
    <w:rsid w:val="00A6471C"/>
    <w:rsid w:val="00A65E60"/>
    <w:rsid w:val="00A6623D"/>
    <w:rsid w:val="00A67216"/>
    <w:rsid w:val="00A70CB2"/>
    <w:rsid w:val="00A71915"/>
    <w:rsid w:val="00A71ED8"/>
    <w:rsid w:val="00A73420"/>
    <w:rsid w:val="00A73EDA"/>
    <w:rsid w:val="00A75F15"/>
    <w:rsid w:val="00A76A7A"/>
    <w:rsid w:val="00A80636"/>
    <w:rsid w:val="00A80942"/>
    <w:rsid w:val="00A80B9C"/>
    <w:rsid w:val="00A81D23"/>
    <w:rsid w:val="00A8282E"/>
    <w:rsid w:val="00A828D1"/>
    <w:rsid w:val="00A82C59"/>
    <w:rsid w:val="00A83382"/>
    <w:rsid w:val="00A86480"/>
    <w:rsid w:val="00A86F9E"/>
    <w:rsid w:val="00A87DE2"/>
    <w:rsid w:val="00A92989"/>
    <w:rsid w:val="00A94030"/>
    <w:rsid w:val="00A9441F"/>
    <w:rsid w:val="00A9538C"/>
    <w:rsid w:val="00A96A15"/>
    <w:rsid w:val="00A979E4"/>
    <w:rsid w:val="00AA160D"/>
    <w:rsid w:val="00AA1C5C"/>
    <w:rsid w:val="00AA2667"/>
    <w:rsid w:val="00AA286B"/>
    <w:rsid w:val="00AA3ECF"/>
    <w:rsid w:val="00AA482F"/>
    <w:rsid w:val="00AA5475"/>
    <w:rsid w:val="00AA66B3"/>
    <w:rsid w:val="00AA6FA4"/>
    <w:rsid w:val="00AA701C"/>
    <w:rsid w:val="00AA735F"/>
    <w:rsid w:val="00AA7A8F"/>
    <w:rsid w:val="00AB046F"/>
    <w:rsid w:val="00AB0BA4"/>
    <w:rsid w:val="00AB0BCC"/>
    <w:rsid w:val="00AB351D"/>
    <w:rsid w:val="00AB4B60"/>
    <w:rsid w:val="00AB530F"/>
    <w:rsid w:val="00AB68EC"/>
    <w:rsid w:val="00AC1466"/>
    <w:rsid w:val="00AC4758"/>
    <w:rsid w:val="00AC6154"/>
    <w:rsid w:val="00AC6F3C"/>
    <w:rsid w:val="00AC77EE"/>
    <w:rsid w:val="00AD1331"/>
    <w:rsid w:val="00AD30C0"/>
    <w:rsid w:val="00AD42BE"/>
    <w:rsid w:val="00AD6504"/>
    <w:rsid w:val="00AD66DE"/>
    <w:rsid w:val="00AD70C6"/>
    <w:rsid w:val="00AD7A29"/>
    <w:rsid w:val="00AE0C21"/>
    <w:rsid w:val="00AE0EE8"/>
    <w:rsid w:val="00AE1F21"/>
    <w:rsid w:val="00AE2735"/>
    <w:rsid w:val="00AE4619"/>
    <w:rsid w:val="00AE56A5"/>
    <w:rsid w:val="00AE79B8"/>
    <w:rsid w:val="00AF161C"/>
    <w:rsid w:val="00AF211F"/>
    <w:rsid w:val="00AF3F61"/>
    <w:rsid w:val="00AF6A7A"/>
    <w:rsid w:val="00AF7C09"/>
    <w:rsid w:val="00B00DE1"/>
    <w:rsid w:val="00B0416C"/>
    <w:rsid w:val="00B0614E"/>
    <w:rsid w:val="00B06DAD"/>
    <w:rsid w:val="00B06FEC"/>
    <w:rsid w:val="00B103FE"/>
    <w:rsid w:val="00B10887"/>
    <w:rsid w:val="00B10DCC"/>
    <w:rsid w:val="00B11C34"/>
    <w:rsid w:val="00B11F0D"/>
    <w:rsid w:val="00B124A4"/>
    <w:rsid w:val="00B12B6C"/>
    <w:rsid w:val="00B20FED"/>
    <w:rsid w:val="00B21D77"/>
    <w:rsid w:val="00B220F9"/>
    <w:rsid w:val="00B225D8"/>
    <w:rsid w:val="00B24D3B"/>
    <w:rsid w:val="00B257EC"/>
    <w:rsid w:val="00B25E94"/>
    <w:rsid w:val="00B33386"/>
    <w:rsid w:val="00B35C8A"/>
    <w:rsid w:val="00B36F1E"/>
    <w:rsid w:val="00B37437"/>
    <w:rsid w:val="00B37647"/>
    <w:rsid w:val="00B37F19"/>
    <w:rsid w:val="00B41B41"/>
    <w:rsid w:val="00B42CF2"/>
    <w:rsid w:val="00B43159"/>
    <w:rsid w:val="00B4414A"/>
    <w:rsid w:val="00B45EAC"/>
    <w:rsid w:val="00B4786F"/>
    <w:rsid w:val="00B5065B"/>
    <w:rsid w:val="00B507AD"/>
    <w:rsid w:val="00B55C96"/>
    <w:rsid w:val="00B57FA9"/>
    <w:rsid w:val="00B64EFC"/>
    <w:rsid w:val="00B66389"/>
    <w:rsid w:val="00B666E2"/>
    <w:rsid w:val="00B70862"/>
    <w:rsid w:val="00B7151A"/>
    <w:rsid w:val="00B7352A"/>
    <w:rsid w:val="00B73DDF"/>
    <w:rsid w:val="00B753CF"/>
    <w:rsid w:val="00B769C2"/>
    <w:rsid w:val="00B77681"/>
    <w:rsid w:val="00B77BF1"/>
    <w:rsid w:val="00B815F2"/>
    <w:rsid w:val="00B830C2"/>
    <w:rsid w:val="00B855B8"/>
    <w:rsid w:val="00B868E9"/>
    <w:rsid w:val="00B869F0"/>
    <w:rsid w:val="00B915D2"/>
    <w:rsid w:val="00B92383"/>
    <w:rsid w:val="00B946B9"/>
    <w:rsid w:val="00B94FA6"/>
    <w:rsid w:val="00B96768"/>
    <w:rsid w:val="00B96EA0"/>
    <w:rsid w:val="00B97C42"/>
    <w:rsid w:val="00BA09F9"/>
    <w:rsid w:val="00BA1297"/>
    <w:rsid w:val="00BA3663"/>
    <w:rsid w:val="00BA43F7"/>
    <w:rsid w:val="00BA502E"/>
    <w:rsid w:val="00BA6CF3"/>
    <w:rsid w:val="00BA7D84"/>
    <w:rsid w:val="00BB03B6"/>
    <w:rsid w:val="00BB0A38"/>
    <w:rsid w:val="00BB1836"/>
    <w:rsid w:val="00BB36E5"/>
    <w:rsid w:val="00BB4989"/>
    <w:rsid w:val="00BB7544"/>
    <w:rsid w:val="00BC0D2E"/>
    <w:rsid w:val="00BC1508"/>
    <w:rsid w:val="00BC2BC7"/>
    <w:rsid w:val="00BC3004"/>
    <w:rsid w:val="00BC44CD"/>
    <w:rsid w:val="00BC4CED"/>
    <w:rsid w:val="00BC5564"/>
    <w:rsid w:val="00BC7265"/>
    <w:rsid w:val="00BD0002"/>
    <w:rsid w:val="00BD035F"/>
    <w:rsid w:val="00BD2A2B"/>
    <w:rsid w:val="00BD34F7"/>
    <w:rsid w:val="00BD5BFD"/>
    <w:rsid w:val="00BD6C11"/>
    <w:rsid w:val="00BD717B"/>
    <w:rsid w:val="00BD7913"/>
    <w:rsid w:val="00BE084F"/>
    <w:rsid w:val="00BE141B"/>
    <w:rsid w:val="00BE22BD"/>
    <w:rsid w:val="00BE3496"/>
    <w:rsid w:val="00BE44DC"/>
    <w:rsid w:val="00BE4846"/>
    <w:rsid w:val="00BE4AA1"/>
    <w:rsid w:val="00BE5C41"/>
    <w:rsid w:val="00BF0474"/>
    <w:rsid w:val="00BF230F"/>
    <w:rsid w:val="00BF2F0E"/>
    <w:rsid w:val="00BF35C6"/>
    <w:rsid w:val="00BF5580"/>
    <w:rsid w:val="00BF7001"/>
    <w:rsid w:val="00BF7CFF"/>
    <w:rsid w:val="00C001A5"/>
    <w:rsid w:val="00C013FA"/>
    <w:rsid w:val="00C016B1"/>
    <w:rsid w:val="00C038B7"/>
    <w:rsid w:val="00C03B6D"/>
    <w:rsid w:val="00C052DB"/>
    <w:rsid w:val="00C05831"/>
    <w:rsid w:val="00C07324"/>
    <w:rsid w:val="00C07A53"/>
    <w:rsid w:val="00C104E6"/>
    <w:rsid w:val="00C16FEC"/>
    <w:rsid w:val="00C179FE"/>
    <w:rsid w:val="00C205C8"/>
    <w:rsid w:val="00C20B00"/>
    <w:rsid w:val="00C21083"/>
    <w:rsid w:val="00C2130A"/>
    <w:rsid w:val="00C21CA8"/>
    <w:rsid w:val="00C24FE4"/>
    <w:rsid w:val="00C27567"/>
    <w:rsid w:val="00C27675"/>
    <w:rsid w:val="00C30317"/>
    <w:rsid w:val="00C3067E"/>
    <w:rsid w:val="00C31C28"/>
    <w:rsid w:val="00C34DD9"/>
    <w:rsid w:val="00C359F3"/>
    <w:rsid w:val="00C36871"/>
    <w:rsid w:val="00C414E0"/>
    <w:rsid w:val="00C41529"/>
    <w:rsid w:val="00C42155"/>
    <w:rsid w:val="00C44B22"/>
    <w:rsid w:val="00C51635"/>
    <w:rsid w:val="00C51D2F"/>
    <w:rsid w:val="00C520D7"/>
    <w:rsid w:val="00C524FF"/>
    <w:rsid w:val="00C539AA"/>
    <w:rsid w:val="00C5404F"/>
    <w:rsid w:val="00C54DEC"/>
    <w:rsid w:val="00C5645C"/>
    <w:rsid w:val="00C56488"/>
    <w:rsid w:val="00C56E2C"/>
    <w:rsid w:val="00C573A3"/>
    <w:rsid w:val="00C5779C"/>
    <w:rsid w:val="00C57CD0"/>
    <w:rsid w:val="00C61D13"/>
    <w:rsid w:val="00C640F1"/>
    <w:rsid w:val="00C64919"/>
    <w:rsid w:val="00C65054"/>
    <w:rsid w:val="00C66F2A"/>
    <w:rsid w:val="00C670B9"/>
    <w:rsid w:val="00C6770E"/>
    <w:rsid w:val="00C703BE"/>
    <w:rsid w:val="00C73494"/>
    <w:rsid w:val="00C735C1"/>
    <w:rsid w:val="00C744B9"/>
    <w:rsid w:val="00C7538A"/>
    <w:rsid w:val="00C755A5"/>
    <w:rsid w:val="00C7573F"/>
    <w:rsid w:val="00C81007"/>
    <w:rsid w:val="00C822E9"/>
    <w:rsid w:val="00C82C1F"/>
    <w:rsid w:val="00C82C21"/>
    <w:rsid w:val="00C86C35"/>
    <w:rsid w:val="00C86CE7"/>
    <w:rsid w:val="00C9039A"/>
    <w:rsid w:val="00C90E9C"/>
    <w:rsid w:val="00C91D93"/>
    <w:rsid w:val="00C92199"/>
    <w:rsid w:val="00C93015"/>
    <w:rsid w:val="00C94B85"/>
    <w:rsid w:val="00C94DA3"/>
    <w:rsid w:val="00C95855"/>
    <w:rsid w:val="00C958B2"/>
    <w:rsid w:val="00C96A68"/>
    <w:rsid w:val="00CA157E"/>
    <w:rsid w:val="00CA35FA"/>
    <w:rsid w:val="00CA378A"/>
    <w:rsid w:val="00CA5871"/>
    <w:rsid w:val="00CA6B21"/>
    <w:rsid w:val="00CA6F42"/>
    <w:rsid w:val="00CA7837"/>
    <w:rsid w:val="00CB15A7"/>
    <w:rsid w:val="00CB24B4"/>
    <w:rsid w:val="00CB5341"/>
    <w:rsid w:val="00CB5903"/>
    <w:rsid w:val="00CC14AD"/>
    <w:rsid w:val="00CC167E"/>
    <w:rsid w:val="00CC1F6B"/>
    <w:rsid w:val="00CC2CE4"/>
    <w:rsid w:val="00CD19F5"/>
    <w:rsid w:val="00CD2FD7"/>
    <w:rsid w:val="00CD4240"/>
    <w:rsid w:val="00CD47BF"/>
    <w:rsid w:val="00CE04C2"/>
    <w:rsid w:val="00CE058F"/>
    <w:rsid w:val="00CE2792"/>
    <w:rsid w:val="00CE2F5E"/>
    <w:rsid w:val="00CE38BE"/>
    <w:rsid w:val="00CE4500"/>
    <w:rsid w:val="00CE48F9"/>
    <w:rsid w:val="00CE4BBB"/>
    <w:rsid w:val="00CE61F4"/>
    <w:rsid w:val="00CE70AF"/>
    <w:rsid w:val="00CE784B"/>
    <w:rsid w:val="00CE7F0F"/>
    <w:rsid w:val="00CF2DE2"/>
    <w:rsid w:val="00CF39FD"/>
    <w:rsid w:val="00CF61D5"/>
    <w:rsid w:val="00CF61D9"/>
    <w:rsid w:val="00CF6731"/>
    <w:rsid w:val="00D00D12"/>
    <w:rsid w:val="00D01259"/>
    <w:rsid w:val="00D01DBA"/>
    <w:rsid w:val="00D03C7A"/>
    <w:rsid w:val="00D0430F"/>
    <w:rsid w:val="00D0479C"/>
    <w:rsid w:val="00D04979"/>
    <w:rsid w:val="00D058A4"/>
    <w:rsid w:val="00D1007A"/>
    <w:rsid w:val="00D115ED"/>
    <w:rsid w:val="00D11F7C"/>
    <w:rsid w:val="00D12BA5"/>
    <w:rsid w:val="00D16AD1"/>
    <w:rsid w:val="00D17BAB"/>
    <w:rsid w:val="00D20FC2"/>
    <w:rsid w:val="00D24AC2"/>
    <w:rsid w:val="00D24F85"/>
    <w:rsid w:val="00D268A1"/>
    <w:rsid w:val="00D30F27"/>
    <w:rsid w:val="00D31895"/>
    <w:rsid w:val="00D31B7D"/>
    <w:rsid w:val="00D33E5F"/>
    <w:rsid w:val="00D34688"/>
    <w:rsid w:val="00D34E53"/>
    <w:rsid w:val="00D363D9"/>
    <w:rsid w:val="00D4093F"/>
    <w:rsid w:val="00D40E85"/>
    <w:rsid w:val="00D41569"/>
    <w:rsid w:val="00D42B6B"/>
    <w:rsid w:val="00D44D23"/>
    <w:rsid w:val="00D44D3C"/>
    <w:rsid w:val="00D472FA"/>
    <w:rsid w:val="00D520C0"/>
    <w:rsid w:val="00D56126"/>
    <w:rsid w:val="00D56283"/>
    <w:rsid w:val="00D56B8A"/>
    <w:rsid w:val="00D572C5"/>
    <w:rsid w:val="00D57A2C"/>
    <w:rsid w:val="00D6007F"/>
    <w:rsid w:val="00D60288"/>
    <w:rsid w:val="00D659E0"/>
    <w:rsid w:val="00D65CBC"/>
    <w:rsid w:val="00D65D87"/>
    <w:rsid w:val="00D65E1E"/>
    <w:rsid w:val="00D66320"/>
    <w:rsid w:val="00D667FD"/>
    <w:rsid w:val="00D66BDE"/>
    <w:rsid w:val="00D70427"/>
    <w:rsid w:val="00D7288B"/>
    <w:rsid w:val="00D73095"/>
    <w:rsid w:val="00D7311D"/>
    <w:rsid w:val="00D73870"/>
    <w:rsid w:val="00D75C95"/>
    <w:rsid w:val="00D767BF"/>
    <w:rsid w:val="00D76D32"/>
    <w:rsid w:val="00D82025"/>
    <w:rsid w:val="00D820B0"/>
    <w:rsid w:val="00D857E7"/>
    <w:rsid w:val="00D868C2"/>
    <w:rsid w:val="00D8755B"/>
    <w:rsid w:val="00D9118D"/>
    <w:rsid w:val="00D92622"/>
    <w:rsid w:val="00D92D38"/>
    <w:rsid w:val="00D95904"/>
    <w:rsid w:val="00D95B6D"/>
    <w:rsid w:val="00D9781F"/>
    <w:rsid w:val="00D97BB3"/>
    <w:rsid w:val="00DA2294"/>
    <w:rsid w:val="00DA282D"/>
    <w:rsid w:val="00DA363E"/>
    <w:rsid w:val="00DA4C68"/>
    <w:rsid w:val="00DA61C5"/>
    <w:rsid w:val="00DB1171"/>
    <w:rsid w:val="00DB2789"/>
    <w:rsid w:val="00DB53EC"/>
    <w:rsid w:val="00DB604A"/>
    <w:rsid w:val="00DB6FEC"/>
    <w:rsid w:val="00DB732D"/>
    <w:rsid w:val="00DB79BB"/>
    <w:rsid w:val="00DC11A6"/>
    <w:rsid w:val="00DC148D"/>
    <w:rsid w:val="00DC167A"/>
    <w:rsid w:val="00DC41CD"/>
    <w:rsid w:val="00DC5755"/>
    <w:rsid w:val="00DC5990"/>
    <w:rsid w:val="00DC5CE3"/>
    <w:rsid w:val="00DC753B"/>
    <w:rsid w:val="00DD0069"/>
    <w:rsid w:val="00DD0E55"/>
    <w:rsid w:val="00DD150F"/>
    <w:rsid w:val="00DD193D"/>
    <w:rsid w:val="00DD1F88"/>
    <w:rsid w:val="00DD30FC"/>
    <w:rsid w:val="00DD530A"/>
    <w:rsid w:val="00DD5687"/>
    <w:rsid w:val="00DD5AAD"/>
    <w:rsid w:val="00DD6222"/>
    <w:rsid w:val="00DD6366"/>
    <w:rsid w:val="00DE0409"/>
    <w:rsid w:val="00DE12AA"/>
    <w:rsid w:val="00DE3567"/>
    <w:rsid w:val="00DE40EC"/>
    <w:rsid w:val="00DE4412"/>
    <w:rsid w:val="00DE4565"/>
    <w:rsid w:val="00DE5623"/>
    <w:rsid w:val="00DF1796"/>
    <w:rsid w:val="00DF5696"/>
    <w:rsid w:val="00DF588F"/>
    <w:rsid w:val="00DF5C6A"/>
    <w:rsid w:val="00DF5DC1"/>
    <w:rsid w:val="00DF63E1"/>
    <w:rsid w:val="00E02A3F"/>
    <w:rsid w:val="00E03428"/>
    <w:rsid w:val="00E0400E"/>
    <w:rsid w:val="00E045D6"/>
    <w:rsid w:val="00E05EBF"/>
    <w:rsid w:val="00E06114"/>
    <w:rsid w:val="00E06286"/>
    <w:rsid w:val="00E077D1"/>
    <w:rsid w:val="00E07B34"/>
    <w:rsid w:val="00E10B62"/>
    <w:rsid w:val="00E12435"/>
    <w:rsid w:val="00E124F8"/>
    <w:rsid w:val="00E15C19"/>
    <w:rsid w:val="00E15F96"/>
    <w:rsid w:val="00E1660E"/>
    <w:rsid w:val="00E1764B"/>
    <w:rsid w:val="00E17ABF"/>
    <w:rsid w:val="00E17C86"/>
    <w:rsid w:val="00E2079A"/>
    <w:rsid w:val="00E21A8C"/>
    <w:rsid w:val="00E25EB4"/>
    <w:rsid w:val="00E26586"/>
    <w:rsid w:val="00E26CB5"/>
    <w:rsid w:val="00E30D14"/>
    <w:rsid w:val="00E30F84"/>
    <w:rsid w:val="00E31CBD"/>
    <w:rsid w:val="00E33C3A"/>
    <w:rsid w:val="00E35AC0"/>
    <w:rsid w:val="00E37085"/>
    <w:rsid w:val="00E40F84"/>
    <w:rsid w:val="00E4215E"/>
    <w:rsid w:val="00E42F36"/>
    <w:rsid w:val="00E44060"/>
    <w:rsid w:val="00E44545"/>
    <w:rsid w:val="00E46F48"/>
    <w:rsid w:val="00E47076"/>
    <w:rsid w:val="00E5003E"/>
    <w:rsid w:val="00E51A59"/>
    <w:rsid w:val="00E51F43"/>
    <w:rsid w:val="00E5335C"/>
    <w:rsid w:val="00E54F71"/>
    <w:rsid w:val="00E57F27"/>
    <w:rsid w:val="00E60975"/>
    <w:rsid w:val="00E61038"/>
    <w:rsid w:val="00E614DB"/>
    <w:rsid w:val="00E62E45"/>
    <w:rsid w:val="00E66B85"/>
    <w:rsid w:val="00E675C5"/>
    <w:rsid w:val="00E67CC8"/>
    <w:rsid w:val="00E7020C"/>
    <w:rsid w:val="00E70BCF"/>
    <w:rsid w:val="00E70EB1"/>
    <w:rsid w:val="00E71168"/>
    <w:rsid w:val="00E71571"/>
    <w:rsid w:val="00E71ADD"/>
    <w:rsid w:val="00E71E1B"/>
    <w:rsid w:val="00E74F12"/>
    <w:rsid w:val="00E801F3"/>
    <w:rsid w:val="00E831CE"/>
    <w:rsid w:val="00E83236"/>
    <w:rsid w:val="00E83936"/>
    <w:rsid w:val="00E83E96"/>
    <w:rsid w:val="00E852F7"/>
    <w:rsid w:val="00E87111"/>
    <w:rsid w:val="00E877EA"/>
    <w:rsid w:val="00E87806"/>
    <w:rsid w:val="00E91A3C"/>
    <w:rsid w:val="00E97DC9"/>
    <w:rsid w:val="00EA0236"/>
    <w:rsid w:val="00EA49F5"/>
    <w:rsid w:val="00EA55B8"/>
    <w:rsid w:val="00EA61F9"/>
    <w:rsid w:val="00EB2D00"/>
    <w:rsid w:val="00EB568F"/>
    <w:rsid w:val="00EB5CE3"/>
    <w:rsid w:val="00EB6759"/>
    <w:rsid w:val="00EC04B5"/>
    <w:rsid w:val="00EC1797"/>
    <w:rsid w:val="00EC1C89"/>
    <w:rsid w:val="00EC43D8"/>
    <w:rsid w:val="00EC5993"/>
    <w:rsid w:val="00EC6E95"/>
    <w:rsid w:val="00EC75A0"/>
    <w:rsid w:val="00ED08F2"/>
    <w:rsid w:val="00ED1720"/>
    <w:rsid w:val="00ED2AEE"/>
    <w:rsid w:val="00ED364F"/>
    <w:rsid w:val="00ED3E48"/>
    <w:rsid w:val="00ED4568"/>
    <w:rsid w:val="00ED51E9"/>
    <w:rsid w:val="00ED699A"/>
    <w:rsid w:val="00ED7298"/>
    <w:rsid w:val="00ED782A"/>
    <w:rsid w:val="00EE024C"/>
    <w:rsid w:val="00EE1472"/>
    <w:rsid w:val="00EE194C"/>
    <w:rsid w:val="00EE3637"/>
    <w:rsid w:val="00EE3F69"/>
    <w:rsid w:val="00EE45B9"/>
    <w:rsid w:val="00EE7CA2"/>
    <w:rsid w:val="00EF13A6"/>
    <w:rsid w:val="00EF28AB"/>
    <w:rsid w:val="00EF35C8"/>
    <w:rsid w:val="00EF392F"/>
    <w:rsid w:val="00EF4023"/>
    <w:rsid w:val="00EF41B4"/>
    <w:rsid w:val="00EF41CA"/>
    <w:rsid w:val="00EF5AC0"/>
    <w:rsid w:val="00EF7791"/>
    <w:rsid w:val="00F03FC4"/>
    <w:rsid w:val="00F04FE0"/>
    <w:rsid w:val="00F0791B"/>
    <w:rsid w:val="00F07ED1"/>
    <w:rsid w:val="00F122D9"/>
    <w:rsid w:val="00F13FEA"/>
    <w:rsid w:val="00F14619"/>
    <w:rsid w:val="00F1493E"/>
    <w:rsid w:val="00F211D9"/>
    <w:rsid w:val="00F232C9"/>
    <w:rsid w:val="00F23BAB"/>
    <w:rsid w:val="00F2418E"/>
    <w:rsid w:val="00F2604D"/>
    <w:rsid w:val="00F27749"/>
    <w:rsid w:val="00F2782E"/>
    <w:rsid w:val="00F27D92"/>
    <w:rsid w:val="00F30222"/>
    <w:rsid w:val="00F30E47"/>
    <w:rsid w:val="00F31464"/>
    <w:rsid w:val="00F33099"/>
    <w:rsid w:val="00F338A2"/>
    <w:rsid w:val="00F33A06"/>
    <w:rsid w:val="00F3480B"/>
    <w:rsid w:val="00F34F3C"/>
    <w:rsid w:val="00F351C6"/>
    <w:rsid w:val="00F40E81"/>
    <w:rsid w:val="00F424DB"/>
    <w:rsid w:val="00F42A4A"/>
    <w:rsid w:val="00F42CE5"/>
    <w:rsid w:val="00F43024"/>
    <w:rsid w:val="00F43857"/>
    <w:rsid w:val="00F454EB"/>
    <w:rsid w:val="00F45BF5"/>
    <w:rsid w:val="00F47262"/>
    <w:rsid w:val="00F51A92"/>
    <w:rsid w:val="00F522AF"/>
    <w:rsid w:val="00F526C9"/>
    <w:rsid w:val="00F53E24"/>
    <w:rsid w:val="00F53F75"/>
    <w:rsid w:val="00F556FF"/>
    <w:rsid w:val="00F56881"/>
    <w:rsid w:val="00F57DE3"/>
    <w:rsid w:val="00F6012F"/>
    <w:rsid w:val="00F601E7"/>
    <w:rsid w:val="00F60853"/>
    <w:rsid w:val="00F6174C"/>
    <w:rsid w:val="00F61BAF"/>
    <w:rsid w:val="00F621C2"/>
    <w:rsid w:val="00F62A96"/>
    <w:rsid w:val="00F64CB5"/>
    <w:rsid w:val="00F65C24"/>
    <w:rsid w:val="00F660DB"/>
    <w:rsid w:val="00F66221"/>
    <w:rsid w:val="00F7000D"/>
    <w:rsid w:val="00F70648"/>
    <w:rsid w:val="00F72DD8"/>
    <w:rsid w:val="00F76907"/>
    <w:rsid w:val="00F77D7E"/>
    <w:rsid w:val="00F80BB9"/>
    <w:rsid w:val="00F82DFE"/>
    <w:rsid w:val="00F82E6D"/>
    <w:rsid w:val="00F83CF7"/>
    <w:rsid w:val="00F84DD3"/>
    <w:rsid w:val="00F87E69"/>
    <w:rsid w:val="00F9151C"/>
    <w:rsid w:val="00F94D63"/>
    <w:rsid w:val="00F970ED"/>
    <w:rsid w:val="00FA015A"/>
    <w:rsid w:val="00FA11AF"/>
    <w:rsid w:val="00FA14D8"/>
    <w:rsid w:val="00FA192C"/>
    <w:rsid w:val="00FA1CBD"/>
    <w:rsid w:val="00FA2C76"/>
    <w:rsid w:val="00FA36EC"/>
    <w:rsid w:val="00FA3993"/>
    <w:rsid w:val="00FA3A8C"/>
    <w:rsid w:val="00FA3CAB"/>
    <w:rsid w:val="00FA48B4"/>
    <w:rsid w:val="00FA602A"/>
    <w:rsid w:val="00FA67A5"/>
    <w:rsid w:val="00FA743E"/>
    <w:rsid w:val="00FB0D7E"/>
    <w:rsid w:val="00FB1BFD"/>
    <w:rsid w:val="00FB2893"/>
    <w:rsid w:val="00FB2E70"/>
    <w:rsid w:val="00FB4348"/>
    <w:rsid w:val="00FB5378"/>
    <w:rsid w:val="00FB55F2"/>
    <w:rsid w:val="00FC3D6C"/>
    <w:rsid w:val="00FC44B0"/>
    <w:rsid w:val="00FC59D4"/>
    <w:rsid w:val="00FC5D3E"/>
    <w:rsid w:val="00FC6E1B"/>
    <w:rsid w:val="00FC7697"/>
    <w:rsid w:val="00FD1C5D"/>
    <w:rsid w:val="00FD28A3"/>
    <w:rsid w:val="00FD4999"/>
    <w:rsid w:val="00FD4A6E"/>
    <w:rsid w:val="00FD4AA4"/>
    <w:rsid w:val="00FD73EA"/>
    <w:rsid w:val="00FE1178"/>
    <w:rsid w:val="00FE1A78"/>
    <w:rsid w:val="00FE38F1"/>
    <w:rsid w:val="00FE426F"/>
    <w:rsid w:val="00FE4DF3"/>
    <w:rsid w:val="00FF03C1"/>
    <w:rsid w:val="00FF0697"/>
    <w:rsid w:val="00FF28C2"/>
    <w:rsid w:val="00FF3753"/>
    <w:rsid w:val="00FF3D5F"/>
    <w:rsid w:val="00FF4B0D"/>
    <w:rsid w:val="00FF4EA3"/>
    <w:rsid w:val="00FF5111"/>
    <w:rsid w:val="00FF6452"/>
    <w:rsid w:val="00FF70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51265"/>
    <o:shapelayout v:ext="edit">
      <o:idmap v:ext="edit" data="1"/>
    </o:shapelayout>
  </w:shapeDefaults>
  <w:decimalSymbol w:val="."/>
  <w:listSeparator w:val=","/>
  <w14:docId w14:val="2F5E3AF4"/>
  <w15:docId w15:val="{D47251B6-CA9A-4AD5-A8C8-4C56781583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AU" w:eastAsia="en-A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06FA2"/>
    <w:pPr>
      <w:jc w:val="both"/>
    </w:pPr>
    <w:rPr>
      <w:rFonts w:ascii="Arial" w:hAnsi="Arial"/>
      <w:sz w:val="24"/>
      <w:szCs w:val="24"/>
      <w:lang w:eastAsia="en-US"/>
    </w:rPr>
  </w:style>
  <w:style w:type="paragraph" w:styleId="Heading1">
    <w:name w:val="heading 1"/>
    <w:basedOn w:val="Normal"/>
    <w:next w:val="Normal"/>
    <w:link w:val="Heading1Char"/>
    <w:qFormat/>
    <w:rsid w:val="00F40E81"/>
    <w:pPr>
      <w:keepNext/>
      <w:keepLines/>
      <w:spacing w:before="480"/>
      <w:outlineLvl w:val="0"/>
    </w:pPr>
    <w:rPr>
      <w:rFonts w:eastAsiaTheme="majorEastAsia" w:cstheme="majorBidi"/>
      <w:b/>
      <w:bCs/>
      <w:color w:val="525D36"/>
      <w:sz w:val="32"/>
      <w:szCs w:val="28"/>
    </w:rPr>
  </w:style>
  <w:style w:type="paragraph" w:styleId="Heading2">
    <w:name w:val="heading 2"/>
    <w:basedOn w:val="Normal"/>
    <w:next w:val="Normal"/>
    <w:link w:val="Heading2Char"/>
    <w:unhideWhenUsed/>
    <w:qFormat/>
    <w:rsid w:val="00F40E81"/>
    <w:pPr>
      <w:keepNext/>
      <w:keepLines/>
      <w:spacing w:before="200"/>
      <w:outlineLvl w:val="1"/>
    </w:pPr>
    <w:rPr>
      <w:rFonts w:eastAsiaTheme="majorEastAsia" w:cstheme="majorBidi"/>
      <w:b/>
      <w:bCs/>
      <w:color w:val="525D36"/>
      <w:szCs w:val="26"/>
    </w:rPr>
  </w:style>
  <w:style w:type="paragraph" w:styleId="Heading3">
    <w:name w:val="heading 3"/>
    <w:basedOn w:val="Normal"/>
    <w:next w:val="Normal"/>
    <w:link w:val="Heading3Char"/>
    <w:semiHidden/>
    <w:unhideWhenUsed/>
    <w:qFormat/>
    <w:rsid w:val="009150BE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semiHidden/>
    <w:unhideWhenUsed/>
    <w:qFormat/>
    <w:rsid w:val="009150BE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semiHidden/>
    <w:unhideWhenUsed/>
    <w:qFormat/>
    <w:rsid w:val="009150BE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semiHidden/>
    <w:unhideWhenUsed/>
    <w:qFormat/>
    <w:rsid w:val="009150BE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semiHidden/>
    <w:unhideWhenUsed/>
    <w:qFormat/>
    <w:rsid w:val="009150BE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semiHidden/>
    <w:unhideWhenUsed/>
    <w:qFormat/>
    <w:rsid w:val="009150BE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semiHidden/>
    <w:unhideWhenUsed/>
    <w:qFormat/>
    <w:rsid w:val="009150BE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965C29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rsid w:val="00965C29"/>
    <w:rPr>
      <w:rFonts w:ascii="Arial" w:hAnsi="Arial"/>
      <w:sz w:val="24"/>
      <w:szCs w:val="24"/>
      <w:lang w:eastAsia="en-US"/>
    </w:rPr>
  </w:style>
  <w:style w:type="paragraph" w:styleId="Footer">
    <w:name w:val="footer"/>
    <w:basedOn w:val="Normal"/>
    <w:link w:val="FooterChar"/>
    <w:rsid w:val="00965C2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965C29"/>
    <w:rPr>
      <w:rFonts w:ascii="Arial" w:hAnsi="Arial"/>
      <w:sz w:val="24"/>
      <w:szCs w:val="24"/>
      <w:lang w:eastAsia="en-US"/>
    </w:rPr>
  </w:style>
  <w:style w:type="character" w:customStyle="1" w:styleId="Heading1Char">
    <w:name w:val="Heading 1 Char"/>
    <w:basedOn w:val="DefaultParagraphFont"/>
    <w:link w:val="Heading1"/>
    <w:rsid w:val="00F40E81"/>
    <w:rPr>
      <w:rFonts w:ascii="Arial" w:eastAsiaTheme="majorEastAsia" w:hAnsi="Arial" w:cstheme="majorBidi"/>
      <w:b/>
      <w:bCs/>
      <w:color w:val="525D36"/>
      <w:sz w:val="32"/>
      <w:szCs w:val="28"/>
      <w:lang w:eastAsia="en-US"/>
    </w:rPr>
  </w:style>
  <w:style w:type="character" w:customStyle="1" w:styleId="Heading2Char">
    <w:name w:val="Heading 2 Char"/>
    <w:basedOn w:val="DefaultParagraphFont"/>
    <w:link w:val="Heading2"/>
    <w:rsid w:val="00F40E81"/>
    <w:rPr>
      <w:rFonts w:ascii="Arial" w:eastAsiaTheme="majorEastAsia" w:hAnsi="Arial" w:cstheme="majorBidi"/>
      <w:b/>
      <w:bCs/>
      <w:color w:val="525D36"/>
      <w:sz w:val="24"/>
      <w:szCs w:val="26"/>
      <w:lang w:eastAsia="en-US"/>
    </w:rPr>
  </w:style>
  <w:style w:type="paragraph" w:styleId="BalloonText">
    <w:name w:val="Balloon Text"/>
    <w:basedOn w:val="Normal"/>
    <w:link w:val="BalloonTextChar"/>
    <w:rsid w:val="009150B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9150BE"/>
    <w:rPr>
      <w:rFonts w:ascii="Tahoma" w:hAnsi="Tahoma" w:cs="Tahoma"/>
      <w:sz w:val="16"/>
      <w:szCs w:val="16"/>
      <w:lang w:eastAsia="en-US"/>
    </w:rPr>
  </w:style>
  <w:style w:type="paragraph" w:styleId="Bibliography">
    <w:name w:val="Bibliography"/>
    <w:basedOn w:val="Normal"/>
    <w:next w:val="Normal"/>
    <w:uiPriority w:val="37"/>
    <w:semiHidden/>
    <w:unhideWhenUsed/>
    <w:rsid w:val="009150BE"/>
  </w:style>
  <w:style w:type="paragraph" w:styleId="BlockText">
    <w:name w:val="Block Text"/>
    <w:basedOn w:val="Normal"/>
    <w:rsid w:val="009150BE"/>
    <w:pPr>
      <w:pBdr>
        <w:top w:val="single" w:sz="2" w:space="10" w:color="4F81BD" w:themeColor="accent1" w:frame="1"/>
        <w:left w:val="single" w:sz="2" w:space="10" w:color="4F81BD" w:themeColor="accent1" w:frame="1"/>
        <w:bottom w:val="single" w:sz="2" w:space="10" w:color="4F81BD" w:themeColor="accent1" w:frame="1"/>
        <w:right w:val="single" w:sz="2" w:space="10" w:color="4F81BD" w:themeColor="accent1" w:frame="1"/>
      </w:pBdr>
      <w:ind w:left="1152" w:right="1152"/>
    </w:pPr>
    <w:rPr>
      <w:rFonts w:asciiTheme="minorHAnsi" w:eastAsiaTheme="minorEastAsia" w:hAnsiTheme="minorHAnsi" w:cstheme="minorBidi"/>
      <w:i/>
      <w:iCs/>
      <w:color w:val="4F81BD" w:themeColor="accent1"/>
    </w:rPr>
  </w:style>
  <w:style w:type="paragraph" w:styleId="BodyText">
    <w:name w:val="Body Text"/>
    <w:basedOn w:val="Normal"/>
    <w:link w:val="BodyTextChar"/>
    <w:rsid w:val="009150BE"/>
    <w:pPr>
      <w:spacing w:after="120"/>
    </w:pPr>
  </w:style>
  <w:style w:type="character" w:customStyle="1" w:styleId="BodyTextChar">
    <w:name w:val="Body Text Char"/>
    <w:basedOn w:val="DefaultParagraphFont"/>
    <w:link w:val="BodyText"/>
    <w:rsid w:val="009150BE"/>
    <w:rPr>
      <w:rFonts w:ascii="Arial" w:hAnsi="Arial"/>
      <w:sz w:val="24"/>
      <w:szCs w:val="24"/>
      <w:lang w:eastAsia="en-US"/>
    </w:rPr>
  </w:style>
  <w:style w:type="paragraph" w:styleId="BodyText2">
    <w:name w:val="Body Text 2"/>
    <w:basedOn w:val="Normal"/>
    <w:link w:val="BodyText2Char"/>
    <w:rsid w:val="009150BE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rsid w:val="009150BE"/>
    <w:rPr>
      <w:rFonts w:ascii="Arial" w:hAnsi="Arial"/>
      <w:sz w:val="24"/>
      <w:szCs w:val="24"/>
      <w:lang w:eastAsia="en-US"/>
    </w:rPr>
  </w:style>
  <w:style w:type="paragraph" w:styleId="BodyText3">
    <w:name w:val="Body Text 3"/>
    <w:basedOn w:val="Normal"/>
    <w:link w:val="BodyText3Char"/>
    <w:rsid w:val="009150BE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rsid w:val="009150BE"/>
    <w:rPr>
      <w:rFonts w:ascii="Arial" w:hAnsi="Arial"/>
      <w:sz w:val="16"/>
      <w:szCs w:val="16"/>
      <w:lang w:eastAsia="en-US"/>
    </w:rPr>
  </w:style>
  <w:style w:type="paragraph" w:styleId="BodyTextFirstIndent">
    <w:name w:val="Body Text First Indent"/>
    <w:basedOn w:val="BodyText"/>
    <w:link w:val="BodyTextFirstIndentChar"/>
    <w:rsid w:val="009150BE"/>
    <w:pPr>
      <w:spacing w:after="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rsid w:val="009150BE"/>
    <w:rPr>
      <w:rFonts w:ascii="Arial" w:hAnsi="Arial"/>
      <w:sz w:val="24"/>
      <w:szCs w:val="24"/>
      <w:lang w:eastAsia="en-US"/>
    </w:rPr>
  </w:style>
  <w:style w:type="paragraph" w:styleId="BodyTextIndent">
    <w:name w:val="Body Text Indent"/>
    <w:basedOn w:val="Normal"/>
    <w:link w:val="BodyTextIndentChar"/>
    <w:rsid w:val="009150BE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9150BE"/>
    <w:rPr>
      <w:rFonts w:ascii="Arial" w:hAnsi="Arial"/>
      <w:sz w:val="24"/>
      <w:szCs w:val="24"/>
      <w:lang w:eastAsia="en-US"/>
    </w:rPr>
  </w:style>
  <w:style w:type="paragraph" w:styleId="BodyTextFirstIndent2">
    <w:name w:val="Body Text First Indent 2"/>
    <w:basedOn w:val="BodyTextIndent"/>
    <w:link w:val="BodyTextFirstIndent2Char"/>
    <w:rsid w:val="009150BE"/>
    <w:pPr>
      <w:spacing w:after="0"/>
      <w:ind w:left="360" w:firstLine="360"/>
    </w:pPr>
  </w:style>
  <w:style w:type="character" w:customStyle="1" w:styleId="BodyTextFirstIndent2Char">
    <w:name w:val="Body Text First Indent 2 Char"/>
    <w:basedOn w:val="BodyTextIndentChar"/>
    <w:link w:val="BodyTextFirstIndent2"/>
    <w:rsid w:val="009150BE"/>
    <w:rPr>
      <w:rFonts w:ascii="Arial" w:hAnsi="Arial"/>
      <w:sz w:val="24"/>
      <w:szCs w:val="24"/>
      <w:lang w:eastAsia="en-US"/>
    </w:rPr>
  </w:style>
  <w:style w:type="paragraph" w:styleId="BodyTextIndent2">
    <w:name w:val="Body Text Indent 2"/>
    <w:basedOn w:val="Normal"/>
    <w:link w:val="BodyTextIndent2Char"/>
    <w:rsid w:val="009150BE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rsid w:val="009150BE"/>
    <w:rPr>
      <w:rFonts w:ascii="Arial" w:hAnsi="Arial"/>
      <w:sz w:val="24"/>
      <w:szCs w:val="24"/>
      <w:lang w:eastAsia="en-US"/>
    </w:rPr>
  </w:style>
  <w:style w:type="paragraph" w:styleId="BodyTextIndent3">
    <w:name w:val="Body Text Indent 3"/>
    <w:basedOn w:val="Normal"/>
    <w:link w:val="BodyTextIndent3Char"/>
    <w:rsid w:val="009150BE"/>
    <w:pPr>
      <w:spacing w:after="120"/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rsid w:val="009150BE"/>
    <w:rPr>
      <w:rFonts w:ascii="Arial" w:hAnsi="Arial"/>
      <w:sz w:val="16"/>
      <w:szCs w:val="16"/>
      <w:lang w:eastAsia="en-US"/>
    </w:rPr>
  </w:style>
  <w:style w:type="character" w:styleId="BookTitle">
    <w:name w:val="Book Title"/>
    <w:basedOn w:val="DefaultParagraphFont"/>
    <w:uiPriority w:val="33"/>
    <w:rsid w:val="009150BE"/>
    <w:rPr>
      <w:b/>
      <w:bCs/>
      <w:smallCaps/>
      <w:spacing w:val="5"/>
      <w:lang w:val="en-AU"/>
    </w:rPr>
  </w:style>
  <w:style w:type="paragraph" w:styleId="Caption">
    <w:name w:val="caption"/>
    <w:basedOn w:val="Normal"/>
    <w:next w:val="Normal"/>
    <w:semiHidden/>
    <w:unhideWhenUsed/>
    <w:qFormat/>
    <w:rsid w:val="009150BE"/>
    <w:pPr>
      <w:spacing w:after="200"/>
    </w:pPr>
    <w:rPr>
      <w:b/>
      <w:bCs/>
      <w:color w:val="4F81BD" w:themeColor="accent1"/>
      <w:sz w:val="18"/>
      <w:szCs w:val="18"/>
    </w:rPr>
  </w:style>
  <w:style w:type="paragraph" w:styleId="Closing">
    <w:name w:val="Closing"/>
    <w:basedOn w:val="Normal"/>
    <w:link w:val="ClosingChar"/>
    <w:rsid w:val="009150BE"/>
    <w:pPr>
      <w:ind w:left="4252"/>
    </w:pPr>
  </w:style>
  <w:style w:type="character" w:customStyle="1" w:styleId="ClosingChar">
    <w:name w:val="Closing Char"/>
    <w:basedOn w:val="DefaultParagraphFont"/>
    <w:link w:val="Closing"/>
    <w:rsid w:val="009150BE"/>
    <w:rPr>
      <w:rFonts w:ascii="Arial" w:hAnsi="Arial"/>
      <w:sz w:val="24"/>
      <w:szCs w:val="24"/>
      <w:lang w:eastAsia="en-US"/>
    </w:rPr>
  </w:style>
  <w:style w:type="table" w:styleId="ColorfulGrid">
    <w:name w:val="Colorful Grid"/>
    <w:basedOn w:val="TableNormal"/>
    <w:uiPriority w:val="73"/>
    <w:rsid w:val="009150BE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9150BE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9150BE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9150BE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9150BE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9150BE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9150BE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ColorfulList">
    <w:name w:val="Colorful List"/>
    <w:basedOn w:val="TableNormal"/>
    <w:uiPriority w:val="72"/>
    <w:rsid w:val="009150BE"/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9150BE"/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9150BE"/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9150BE"/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9150BE"/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9150BE"/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9150BE"/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Shading">
    <w:name w:val="Colorful Shading"/>
    <w:basedOn w:val="TableNormal"/>
    <w:uiPriority w:val="71"/>
    <w:rsid w:val="009150BE"/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9150BE"/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9150BE"/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9150BE"/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9150BE"/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9150BE"/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9150BE"/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rsid w:val="009150BE"/>
    <w:rPr>
      <w:sz w:val="16"/>
      <w:szCs w:val="16"/>
      <w:lang w:val="en-AU"/>
    </w:rPr>
  </w:style>
  <w:style w:type="paragraph" w:styleId="CommentText">
    <w:name w:val="annotation text"/>
    <w:basedOn w:val="Normal"/>
    <w:link w:val="CommentTextChar"/>
    <w:rsid w:val="009150BE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9150BE"/>
    <w:rPr>
      <w:rFonts w:ascii="Arial" w:hAnsi="Arial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rsid w:val="009150BE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9150BE"/>
    <w:rPr>
      <w:rFonts w:ascii="Arial" w:hAnsi="Arial"/>
      <w:b/>
      <w:bCs/>
      <w:lang w:eastAsia="en-US"/>
    </w:rPr>
  </w:style>
  <w:style w:type="table" w:styleId="DarkList">
    <w:name w:val="Dark List"/>
    <w:basedOn w:val="TableNormal"/>
    <w:uiPriority w:val="70"/>
    <w:rsid w:val="009150BE"/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9150BE"/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9150BE"/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9150BE"/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9150BE"/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9150BE"/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9150BE"/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paragraph" w:styleId="Date">
    <w:name w:val="Date"/>
    <w:basedOn w:val="Normal"/>
    <w:next w:val="Normal"/>
    <w:link w:val="DateChar"/>
    <w:rsid w:val="009150BE"/>
  </w:style>
  <w:style w:type="character" w:customStyle="1" w:styleId="DateChar">
    <w:name w:val="Date Char"/>
    <w:basedOn w:val="DefaultParagraphFont"/>
    <w:link w:val="Date"/>
    <w:rsid w:val="009150BE"/>
    <w:rPr>
      <w:rFonts w:ascii="Arial" w:hAnsi="Arial"/>
      <w:sz w:val="24"/>
      <w:szCs w:val="24"/>
      <w:lang w:eastAsia="en-US"/>
    </w:rPr>
  </w:style>
  <w:style w:type="paragraph" w:styleId="DocumentMap">
    <w:name w:val="Document Map"/>
    <w:basedOn w:val="Normal"/>
    <w:link w:val="DocumentMapChar"/>
    <w:rsid w:val="009150BE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rsid w:val="009150BE"/>
    <w:rPr>
      <w:rFonts w:ascii="Tahoma" w:hAnsi="Tahoma" w:cs="Tahoma"/>
      <w:sz w:val="16"/>
      <w:szCs w:val="16"/>
      <w:lang w:eastAsia="en-US"/>
    </w:rPr>
  </w:style>
  <w:style w:type="paragraph" w:styleId="E-mailSignature">
    <w:name w:val="E-mail Signature"/>
    <w:basedOn w:val="Normal"/>
    <w:link w:val="E-mailSignatureChar"/>
    <w:rsid w:val="009150BE"/>
  </w:style>
  <w:style w:type="character" w:customStyle="1" w:styleId="E-mailSignatureChar">
    <w:name w:val="E-mail Signature Char"/>
    <w:basedOn w:val="DefaultParagraphFont"/>
    <w:link w:val="E-mailSignature"/>
    <w:rsid w:val="009150BE"/>
    <w:rPr>
      <w:rFonts w:ascii="Arial" w:hAnsi="Arial"/>
      <w:sz w:val="24"/>
      <w:szCs w:val="24"/>
      <w:lang w:eastAsia="en-US"/>
    </w:rPr>
  </w:style>
  <w:style w:type="character" w:styleId="Emphasis">
    <w:name w:val="Emphasis"/>
    <w:basedOn w:val="DefaultParagraphFont"/>
    <w:rsid w:val="009150BE"/>
    <w:rPr>
      <w:i/>
      <w:iCs/>
    </w:rPr>
  </w:style>
  <w:style w:type="character" w:styleId="EndnoteReference">
    <w:name w:val="endnote reference"/>
    <w:basedOn w:val="DefaultParagraphFont"/>
    <w:rsid w:val="009150BE"/>
    <w:rPr>
      <w:vertAlign w:val="superscript"/>
    </w:rPr>
  </w:style>
  <w:style w:type="paragraph" w:styleId="EndnoteText">
    <w:name w:val="endnote text"/>
    <w:basedOn w:val="Normal"/>
    <w:link w:val="EndnoteTextChar"/>
    <w:rsid w:val="009150BE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rsid w:val="009150BE"/>
    <w:rPr>
      <w:rFonts w:ascii="Arial" w:hAnsi="Arial"/>
      <w:lang w:eastAsia="en-US"/>
    </w:rPr>
  </w:style>
  <w:style w:type="paragraph" w:styleId="EnvelopeAddress">
    <w:name w:val="envelope address"/>
    <w:basedOn w:val="Normal"/>
    <w:rsid w:val="009150BE"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</w:rPr>
  </w:style>
  <w:style w:type="paragraph" w:styleId="EnvelopeReturn">
    <w:name w:val="envelope return"/>
    <w:basedOn w:val="Normal"/>
    <w:rsid w:val="009150BE"/>
    <w:rPr>
      <w:rFonts w:asciiTheme="majorHAnsi" w:eastAsiaTheme="majorEastAsia" w:hAnsiTheme="majorHAnsi" w:cstheme="majorBidi"/>
      <w:sz w:val="20"/>
      <w:szCs w:val="20"/>
    </w:rPr>
  </w:style>
  <w:style w:type="character" w:styleId="FollowedHyperlink">
    <w:name w:val="FollowedHyperlink"/>
    <w:basedOn w:val="DefaultParagraphFont"/>
    <w:rsid w:val="009150BE"/>
    <w:rPr>
      <w:color w:val="800080" w:themeColor="followedHyperlink"/>
      <w:u w:val="single"/>
    </w:rPr>
  </w:style>
  <w:style w:type="character" w:styleId="FootnoteReference">
    <w:name w:val="footnote reference"/>
    <w:basedOn w:val="DefaultParagraphFont"/>
    <w:rsid w:val="009150BE"/>
    <w:rPr>
      <w:vertAlign w:val="superscript"/>
    </w:rPr>
  </w:style>
  <w:style w:type="paragraph" w:styleId="FootnoteText">
    <w:name w:val="footnote text"/>
    <w:basedOn w:val="Normal"/>
    <w:link w:val="FootnoteTextChar"/>
    <w:rsid w:val="009150BE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rsid w:val="009150BE"/>
    <w:rPr>
      <w:rFonts w:ascii="Arial" w:hAnsi="Arial"/>
      <w:lang w:eastAsia="en-US"/>
    </w:rPr>
  </w:style>
  <w:style w:type="character" w:customStyle="1" w:styleId="Heading3Char">
    <w:name w:val="Heading 3 Char"/>
    <w:basedOn w:val="DefaultParagraphFont"/>
    <w:link w:val="Heading3"/>
    <w:semiHidden/>
    <w:rsid w:val="009150BE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en-US"/>
    </w:rPr>
  </w:style>
  <w:style w:type="character" w:customStyle="1" w:styleId="Heading4Char">
    <w:name w:val="Heading 4 Char"/>
    <w:basedOn w:val="DefaultParagraphFont"/>
    <w:link w:val="Heading4"/>
    <w:semiHidden/>
    <w:rsid w:val="009150BE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en-US"/>
    </w:rPr>
  </w:style>
  <w:style w:type="character" w:customStyle="1" w:styleId="Heading5Char">
    <w:name w:val="Heading 5 Char"/>
    <w:basedOn w:val="DefaultParagraphFont"/>
    <w:link w:val="Heading5"/>
    <w:semiHidden/>
    <w:rsid w:val="009150BE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en-US"/>
    </w:rPr>
  </w:style>
  <w:style w:type="character" w:customStyle="1" w:styleId="Heading6Char">
    <w:name w:val="Heading 6 Char"/>
    <w:basedOn w:val="DefaultParagraphFont"/>
    <w:link w:val="Heading6"/>
    <w:semiHidden/>
    <w:rsid w:val="009150BE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eastAsia="en-US"/>
    </w:rPr>
  </w:style>
  <w:style w:type="character" w:customStyle="1" w:styleId="Heading7Char">
    <w:name w:val="Heading 7 Char"/>
    <w:basedOn w:val="DefaultParagraphFont"/>
    <w:link w:val="Heading7"/>
    <w:semiHidden/>
    <w:rsid w:val="009150BE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  <w:lang w:eastAsia="en-US"/>
    </w:rPr>
  </w:style>
  <w:style w:type="character" w:customStyle="1" w:styleId="Heading8Char">
    <w:name w:val="Heading 8 Char"/>
    <w:basedOn w:val="DefaultParagraphFont"/>
    <w:link w:val="Heading8"/>
    <w:semiHidden/>
    <w:rsid w:val="009150BE"/>
    <w:rPr>
      <w:rFonts w:asciiTheme="majorHAnsi" w:eastAsiaTheme="majorEastAsia" w:hAnsiTheme="majorHAnsi" w:cstheme="majorBidi"/>
      <w:color w:val="404040" w:themeColor="text1" w:themeTint="BF"/>
      <w:lang w:eastAsia="en-US"/>
    </w:rPr>
  </w:style>
  <w:style w:type="character" w:customStyle="1" w:styleId="Heading9Char">
    <w:name w:val="Heading 9 Char"/>
    <w:basedOn w:val="DefaultParagraphFont"/>
    <w:link w:val="Heading9"/>
    <w:semiHidden/>
    <w:rsid w:val="009150BE"/>
    <w:rPr>
      <w:rFonts w:asciiTheme="majorHAnsi" w:eastAsiaTheme="majorEastAsia" w:hAnsiTheme="majorHAnsi" w:cstheme="majorBidi"/>
      <w:i/>
      <w:iCs/>
      <w:color w:val="404040" w:themeColor="text1" w:themeTint="BF"/>
      <w:lang w:eastAsia="en-US"/>
    </w:rPr>
  </w:style>
  <w:style w:type="character" w:styleId="HTMLAcronym">
    <w:name w:val="HTML Acronym"/>
    <w:basedOn w:val="DefaultParagraphFont"/>
    <w:rsid w:val="009150BE"/>
  </w:style>
  <w:style w:type="paragraph" w:styleId="HTMLAddress">
    <w:name w:val="HTML Address"/>
    <w:basedOn w:val="Normal"/>
    <w:link w:val="HTMLAddressChar"/>
    <w:rsid w:val="009150BE"/>
    <w:rPr>
      <w:i/>
      <w:iCs/>
    </w:rPr>
  </w:style>
  <w:style w:type="character" w:customStyle="1" w:styleId="HTMLAddressChar">
    <w:name w:val="HTML Address Char"/>
    <w:basedOn w:val="DefaultParagraphFont"/>
    <w:link w:val="HTMLAddress"/>
    <w:rsid w:val="009150BE"/>
    <w:rPr>
      <w:rFonts w:ascii="Arial" w:hAnsi="Arial"/>
      <w:i/>
      <w:iCs/>
      <w:sz w:val="24"/>
      <w:szCs w:val="24"/>
      <w:lang w:eastAsia="en-US"/>
    </w:rPr>
  </w:style>
  <w:style w:type="character" w:styleId="HTMLCite">
    <w:name w:val="HTML Cite"/>
    <w:basedOn w:val="DefaultParagraphFont"/>
    <w:rsid w:val="009150BE"/>
    <w:rPr>
      <w:i/>
      <w:iCs/>
    </w:rPr>
  </w:style>
  <w:style w:type="character" w:styleId="HTMLCode">
    <w:name w:val="HTML Code"/>
    <w:basedOn w:val="DefaultParagraphFont"/>
    <w:rsid w:val="009150BE"/>
    <w:rPr>
      <w:rFonts w:ascii="Consolas" w:hAnsi="Consolas" w:cs="Consolas"/>
      <w:sz w:val="20"/>
      <w:szCs w:val="20"/>
    </w:rPr>
  </w:style>
  <w:style w:type="character" w:styleId="HTMLDefinition">
    <w:name w:val="HTML Definition"/>
    <w:basedOn w:val="DefaultParagraphFont"/>
    <w:rsid w:val="009150BE"/>
    <w:rPr>
      <w:i/>
      <w:iCs/>
    </w:rPr>
  </w:style>
  <w:style w:type="character" w:styleId="HTMLKeyboard">
    <w:name w:val="HTML Keyboard"/>
    <w:basedOn w:val="DefaultParagraphFont"/>
    <w:rsid w:val="009150BE"/>
    <w:rPr>
      <w:rFonts w:ascii="Consolas" w:hAnsi="Consolas" w:cs="Consolas"/>
      <w:sz w:val="20"/>
      <w:szCs w:val="20"/>
    </w:rPr>
  </w:style>
  <w:style w:type="paragraph" w:styleId="HTMLPreformatted">
    <w:name w:val="HTML Preformatted"/>
    <w:basedOn w:val="Normal"/>
    <w:link w:val="HTMLPreformattedChar"/>
    <w:rsid w:val="009150BE"/>
    <w:rPr>
      <w:rFonts w:ascii="Consolas" w:hAnsi="Consolas" w:cs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rsid w:val="009150BE"/>
    <w:rPr>
      <w:rFonts w:ascii="Consolas" w:hAnsi="Consolas" w:cs="Consolas"/>
      <w:lang w:eastAsia="en-US"/>
    </w:rPr>
  </w:style>
  <w:style w:type="character" w:styleId="HTMLSample">
    <w:name w:val="HTML Sample"/>
    <w:basedOn w:val="DefaultParagraphFont"/>
    <w:rsid w:val="009150BE"/>
    <w:rPr>
      <w:rFonts w:ascii="Consolas" w:hAnsi="Consolas" w:cs="Consolas"/>
      <w:sz w:val="24"/>
      <w:szCs w:val="24"/>
    </w:rPr>
  </w:style>
  <w:style w:type="character" w:styleId="HTMLTypewriter">
    <w:name w:val="HTML Typewriter"/>
    <w:basedOn w:val="DefaultParagraphFont"/>
    <w:rsid w:val="009150BE"/>
    <w:rPr>
      <w:rFonts w:ascii="Consolas" w:hAnsi="Consolas" w:cs="Consolas"/>
      <w:sz w:val="20"/>
      <w:szCs w:val="20"/>
    </w:rPr>
  </w:style>
  <w:style w:type="character" w:styleId="HTMLVariable">
    <w:name w:val="HTML Variable"/>
    <w:basedOn w:val="DefaultParagraphFont"/>
    <w:rsid w:val="009150BE"/>
    <w:rPr>
      <w:i/>
      <w:iCs/>
    </w:rPr>
  </w:style>
  <w:style w:type="character" w:styleId="Hyperlink">
    <w:name w:val="Hyperlink"/>
    <w:basedOn w:val="DefaultParagraphFont"/>
    <w:rsid w:val="009150BE"/>
    <w:rPr>
      <w:color w:val="0000FF" w:themeColor="hyperlink"/>
      <w:u w:val="single"/>
    </w:rPr>
  </w:style>
  <w:style w:type="paragraph" w:styleId="Index1">
    <w:name w:val="index 1"/>
    <w:basedOn w:val="Normal"/>
    <w:next w:val="Normal"/>
    <w:autoRedefine/>
    <w:rsid w:val="009150BE"/>
    <w:pPr>
      <w:ind w:left="240" w:hanging="240"/>
    </w:pPr>
  </w:style>
  <w:style w:type="paragraph" w:styleId="Index2">
    <w:name w:val="index 2"/>
    <w:basedOn w:val="Normal"/>
    <w:next w:val="Normal"/>
    <w:autoRedefine/>
    <w:rsid w:val="009150BE"/>
    <w:pPr>
      <w:ind w:left="480" w:hanging="240"/>
    </w:pPr>
  </w:style>
  <w:style w:type="paragraph" w:styleId="Index3">
    <w:name w:val="index 3"/>
    <w:basedOn w:val="Normal"/>
    <w:next w:val="Normal"/>
    <w:autoRedefine/>
    <w:rsid w:val="009150BE"/>
    <w:pPr>
      <w:ind w:left="720" w:hanging="240"/>
    </w:pPr>
  </w:style>
  <w:style w:type="paragraph" w:styleId="Index4">
    <w:name w:val="index 4"/>
    <w:basedOn w:val="Normal"/>
    <w:next w:val="Normal"/>
    <w:autoRedefine/>
    <w:rsid w:val="009150BE"/>
    <w:pPr>
      <w:ind w:left="960" w:hanging="240"/>
    </w:pPr>
  </w:style>
  <w:style w:type="paragraph" w:styleId="Index5">
    <w:name w:val="index 5"/>
    <w:basedOn w:val="Normal"/>
    <w:next w:val="Normal"/>
    <w:autoRedefine/>
    <w:rsid w:val="009150BE"/>
    <w:pPr>
      <w:ind w:left="1200" w:hanging="240"/>
    </w:pPr>
  </w:style>
  <w:style w:type="paragraph" w:styleId="Index6">
    <w:name w:val="index 6"/>
    <w:basedOn w:val="Normal"/>
    <w:next w:val="Normal"/>
    <w:autoRedefine/>
    <w:rsid w:val="009150BE"/>
    <w:pPr>
      <w:ind w:left="1440" w:hanging="240"/>
    </w:pPr>
  </w:style>
  <w:style w:type="paragraph" w:styleId="Index7">
    <w:name w:val="index 7"/>
    <w:basedOn w:val="Normal"/>
    <w:next w:val="Normal"/>
    <w:autoRedefine/>
    <w:rsid w:val="009150BE"/>
    <w:pPr>
      <w:ind w:left="1680" w:hanging="240"/>
    </w:pPr>
  </w:style>
  <w:style w:type="paragraph" w:styleId="Index8">
    <w:name w:val="index 8"/>
    <w:basedOn w:val="Normal"/>
    <w:next w:val="Normal"/>
    <w:autoRedefine/>
    <w:rsid w:val="009150BE"/>
    <w:pPr>
      <w:ind w:left="1920" w:hanging="240"/>
    </w:pPr>
  </w:style>
  <w:style w:type="paragraph" w:styleId="Index9">
    <w:name w:val="index 9"/>
    <w:basedOn w:val="Normal"/>
    <w:next w:val="Normal"/>
    <w:autoRedefine/>
    <w:rsid w:val="009150BE"/>
    <w:pPr>
      <w:ind w:left="2160" w:hanging="240"/>
    </w:pPr>
  </w:style>
  <w:style w:type="paragraph" w:styleId="IndexHeading">
    <w:name w:val="index heading"/>
    <w:basedOn w:val="Normal"/>
    <w:next w:val="Index1"/>
    <w:rsid w:val="009150BE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rsid w:val="009150BE"/>
    <w:rPr>
      <w:b/>
      <w:bCs/>
      <w:i/>
      <w:iCs/>
      <w:color w:val="4F81BD" w:themeColor="accent1"/>
    </w:rPr>
  </w:style>
  <w:style w:type="paragraph" w:styleId="IntenseQuote">
    <w:name w:val="Intense Quote"/>
    <w:basedOn w:val="Normal"/>
    <w:next w:val="Normal"/>
    <w:link w:val="IntenseQuoteChar"/>
    <w:uiPriority w:val="30"/>
    <w:rsid w:val="009150BE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150BE"/>
    <w:rPr>
      <w:rFonts w:ascii="Arial" w:hAnsi="Arial"/>
      <w:b/>
      <w:bCs/>
      <w:i/>
      <w:iCs/>
      <w:color w:val="4F81BD" w:themeColor="accent1"/>
      <w:sz w:val="24"/>
      <w:szCs w:val="24"/>
      <w:lang w:eastAsia="en-US"/>
    </w:rPr>
  </w:style>
  <w:style w:type="character" w:styleId="IntenseReference">
    <w:name w:val="Intense Reference"/>
    <w:basedOn w:val="DefaultParagraphFont"/>
    <w:uiPriority w:val="32"/>
    <w:rsid w:val="009150BE"/>
    <w:rPr>
      <w:b/>
      <w:bCs/>
      <w:smallCaps/>
      <w:color w:val="C0504D" w:themeColor="accent2"/>
      <w:spacing w:val="5"/>
      <w:u w:val="single"/>
    </w:rPr>
  </w:style>
  <w:style w:type="table" w:styleId="LightGrid">
    <w:name w:val="Light Grid"/>
    <w:basedOn w:val="TableNormal"/>
    <w:uiPriority w:val="62"/>
    <w:rsid w:val="009150BE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9150BE"/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9150BE"/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9150BE"/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9150BE"/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9150BE"/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9150BE"/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LightList">
    <w:name w:val="Light List"/>
    <w:basedOn w:val="TableNormal"/>
    <w:uiPriority w:val="61"/>
    <w:rsid w:val="009150BE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9150BE"/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9150BE"/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9150BE"/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9150BE"/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9150BE"/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9150BE"/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Shading">
    <w:name w:val="Light Shading"/>
    <w:basedOn w:val="TableNormal"/>
    <w:uiPriority w:val="60"/>
    <w:rsid w:val="009150BE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9150BE"/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9150BE"/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9150BE"/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9150BE"/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9150BE"/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9150BE"/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character" w:styleId="LineNumber">
    <w:name w:val="line number"/>
    <w:basedOn w:val="DefaultParagraphFont"/>
    <w:rsid w:val="009150BE"/>
  </w:style>
  <w:style w:type="paragraph" w:styleId="List">
    <w:name w:val="List"/>
    <w:basedOn w:val="Normal"/>
    <w:rsid w:val="009150BE"/>
    <w:pPr>
      <w:ind w:left="283" w:hanging="283"/>
      <w:contextualSpacing/>
    </w:pPr>
  </w:style>
  <w:style w:type="paragraph" w:styleId="List2">
    <w:name w:val="List 2"/>
    <w:basedOn w:val="Normal"/>
    <w:rsid w:val="009150BE"/>
    <w:pPr>
      <w:ind w:left="566" w:hanging="283"/>
      <w:contextualSpacing/>
    </w:pPr>
  </w:style>
  <w:style w:type="paragraph" w:styleId="List3">
    <w:name w:val="List 3"/>
    <w:basedOn w:val="Normal"/>
    <w:rsid w:val="009150BE"/>
    <w:pPr>
      <w:ind w:left="849" w:hanging="283"/>
      <w:contextualSpacing/>
    </w:pPr>
  </w:style>
  <w:style w:type="paragraph" w:styleId="List4">
    <w:name w:val="List 4"/>
    <w:basedOn w:val="Normal"/>
    <w:rsid w:val="009150BE"/>
    <w:pPr>
      <w:ind w:left="1132" w:hanging="283"/>
      <w:contextualSpacing/>
    </w:pPr>
  </w:style>
  <w:style w:type="paragraph" w:styleId="List5">
    <w:name w:val="List 5"/>
    <w:basedOn w:val="Normal"/>
    <w:rsid w:val="009150BE"/>
    <w:pPr>
      <w:ind w:left="1415" w:hanging="283"/>
      <w:contextualSpacing/>
    </w:pPr>
  </w:style>
  <w:style w:type="paragraph" w:styleId="ListBullet">
    <w:name w:val="List Bullet"/>
    <w:basedOn w:val="Normal"/>
    <w:rsid w:val="009150BE"/>
    <w:pPr>
      <w:numPr>
        <w:numId w:val="1"/>
      </w:numPr>
      <w:contextualSpacing/>
    </w:pPr>
  </w:style>
  <w:style w:type="paragraph" w:styleId="ListBullet2">
    <w:name w:val="List Bullet 2"/>
    <w:basedOn w:val="Normal"/>
    <w:rsid w:val="009150BE"/>
    <w:pPr>
      <w:numPr>
        <w:numId w:val="2"/>
      </w:numPr>
      <w:contextualSpacing/>
    </w:pPr>
  </w:style>
  <w:style w:type="paragraph" w:styleId="ListBullet3">
    <w:name w:val="List Bullet 3"/>
    <w:basedOn w:val="Normal"/>
    <w:rsid w:val="009150BE"/>
    <w:pPr>
      <w:numPr>
        <w:numId w:val="3"/>
      </w:numPr>
      <w:contextualSpacing/>
    </w:pPr>
  </w:style>
  <w:style w:type="paragraph" w:styleId="ListBullet4">
    <w:name w:val="List Bullet 4"/>
    <w:basedOn w:val="Normal"/>
    <w:rsid w:val="009150BE"/>
    <w:pPr>
      <w:numPr>
        <w:numId w:val="4"/>
      </w:numPr>
      <w:contextualSpacing/>
    </w:pPr>
  </w:style>
  <w:style w:type="paragraph" w:styleId="ListBullet5">
    <w:name w:val="List Bullet 5"/>
    <w:basedOn w:val="Normal"/>
    <w:rsid w:val="009150BE"/>
    <w:pPr>
      <w:numPr>
        <w:numId w:val="5"/>
      </w:numPr>
      <w:contextualSpacing/>
    </w:pPr>
  </w:style>
  <w:style w:type="paragraph" w:styleId="ListContinue">
    <w:name w:val="List Continue"/>
    <w:basedOn w:val="Normal"/>
    <w:rsid w:val="009150BE"/>
    <w:pPr>
      <w:spacing w:after="120"/>
      <w:ind w:left="283"/>
      <w:contextualSpacing/>
    </w:pPr>
  </w:style>
  <w:style w:type="paragraph" w:styleId="ListContinue2">
    <w:name w:val="List Continue 2"/>
    <w:basedOn w:val="Normal"/>
    <w:rsid w:val="009150BE"/>
    <w:pPr>
      <w:spacing w:after="120"/>
      <w:ind w:left="566"/>
      <w:contextualSpacing/>
    </w:pPr>
  </w:style>
  <w:style w:type="paragraph" w:styleId="ListContinue3">
    <w:name w:val="List Continue 3"/>
    <w:basedOn w:val="Normal"/>
    <w:rsid w:val="009150BE"/>
    <w:pPr>
      <w:spacing w:after="120"/>
      <w:ind w:left="849"/>
      <w:contextualSpacing/>
    </w:pPr>
  </w:style>
  <w:style w:type="paragraph" w:styleId="ListContinue4">
    <w:name w:val="List Continue 4"/>
    <w:basedOn w:val="Normal"/>
    <w:rsid w:val="009150BE"/>
    <w:pPr>
      <w:spacing w:after="120"/>
      <w:ind w:left="1132"/>
      <w:contextualSpacing/>
    </w:pPr>
  </w:style>
  <w:style w:type="paragraph" w:styleId="ListContinue5">
    <w:name w:val="List Continue 5"/>
    <w:basedOn w:val="Normal"/>
    <w:rsid w:val="009150BE"/>
    <w:pPr>
      <w:spacing w:after="120"/>
      <w:ind w:left="1415"/>
      <w:contextualSpacing/>
    </w:pPr>
  </w:style>
  <w:style w:type="paragraph" w:styleId="ListNumber">
    <w:name w:val="List Number"/>
    <w:basedOn w:val="Normal"/>
    <w:rsid w:val="009150BE"/>
    <w:pPr>
      <w:numPr>
        <w:numId w:val="6"/>
      </w:numPr>
      <w:contextualSpacing/>
    </w:pPr>
  </w:style>
  <w:style w:type="paragraph" w:styleId="ListNumber2">
    <w:name w:val="List Number 2"/>
    <w:basedOn w:val="Normal"/>
    <w:rsid w:val="009150BE"/>
    <w:pPr>
      <w:numPr>
        <w:numId w:val="7"/>
      </w:numPr>
      <w:contextualSpacing/>
    </w:pPr>
  </w:style>
  <w:style w:type="paragraph" w:styleId="ListNumber3">
    <w:name w:val="List Number 3"/>
    <w:basedOn w:val="Normal"/>
    <w:rsid w:val="009150BE"/>
    <w:pPr>
      <w:numPr>
        <w:numId w:val="8"/>
      </w:numPr>
      <w:contextualSpacing/>
    </w:pPr>
  </w:style>
  <w:style w:type="paragraph" w:styleId="ListNumber4">
    <w:name w:val="List Number 4"/>
    <w:basedOn w:val="Normal"/>
    <w:rsid w:val="009150BE"/>
    <w:pPr>
      <w:numPr>
        <w:numId w:val="9"/>
      </w:numPr>
      <w:contextualSpacing/>
    </w:pPr>
  </w:style>
  <w:style w:type="paragraph" w:styleId="ListNumber5">
    <w:name w:val="List Number 5"/>
    <w:basedOn w:val="Normal"/>
    <w:rsid w:val="009150BE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qFormat/>
    <w:rsid w:val="009150BE"/>
    <w:pPr>
      <w:ind w:left="720"/>
      <w:contextualSpacing/>
    </w:pPr>
  </w:style>
  <w:style w:type="paragraph" w:styleId="MacroText">
    <w:name w:val="macro"/>
    <w:link w:val="MacroTextChar"/>
    <w:rsid w:val="009150BE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jc w:val="both"/>
    </w:pPr>
    <w:rPr>
      <w:rFonts w:ascii="Consolas" w:hAnsi="Consolas" w:cs="Consolas"/>
      <w:lang w:eastAsia="en-US"/>
    </w:rPr>
  </w:style>
  <w:style w:type="character" w:customStyle="1" w:styleId="MacroTextChar">
    <w:name w:val="Macro Text Char"/>
    <w:basedOn w:val="DefaultParagraphFont"/>
    <w:link w:val="MacroText"/>
    <w:rsid w:val="009150BE"/>
    <w:rPr>
      <w:rFonts w:ascii="Consolas" w:hAnsi="Consolas" w:cs="Consolas"/>
      <w:lang w:eastAsia="en-US"/>
    </w:rPr>
  </w:style>
  <w:style w:type="table" w:styleId="MediumGrid1">
    <w:name w:val="Medium Grid 1"/>
    <w:basedOn w:val="TableNormal"/>
    <w:uiPriority w:val="67"/>
    <w:rsid w:val="009150BE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9150BE"/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9150BE"/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9150BE"/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9150BE"/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9150BE"/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9150BE"/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9150BE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9150BE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9150BE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9150BE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9150BE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9150BE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9150BE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MediumList1">
    <w:name w:val="Medium List 1"/>
    <w:basedOn w:val="TableNormal"/>
    <w:uiPriority w:val="65"/>
    <w:rsid w:val="009150BE"/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9150BE"/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9150BE"/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9150BE"/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9150BE"/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9150BE"/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9150BE"/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rsid w:val="009150BE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9150BE"/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9150BE"/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9150BE"/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9150BE"/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9150BE"/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9150BE"/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9150B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9150B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9150B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9150B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9150B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9150B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9150B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rsid w:val="009150B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Theme="majorHAnsi" w:eastAsiaTheme="majorEastAsia" w:hAnsiTheme="majorHAnsi" w:cstheme="majorBidi"/>
    </w:rPr>
  </w:style>
  <w:style w:type="character" w:customStyle="1" w:styleId="MessageHeaderChar">
    <w:name w:val="Message Header Char"/>
    <w:basedOn w:val="DefaultParagraphFont"/>
    <w:link w:val="MessageHeader"/>
    <w:rsid w:val="009150BE"/>
    <w:rPr>
      <w:rFonts w:asciiTheme="majorHAnsi" w:eastAsiaTheme="majorEastAsia" w:hAnsiTheme="majorHAnsi" w:cstheme="majorBidi"/>
      <w:sz w:val="24"/>
      <w:szCs w:val="24"/>
      <w:shd w:val="pct20" w:color="auto" w:fill="auto"/>
      <w:lang w:eastAsia="en-US"/>
    </w:rPr>
  </w:style>
  <w:style w:type="paragraph" w:styleId="NoSpacing">
    <w:name w:val="No Spacing"/>
    <w:uiPriority w:val="1"/>
    <w:rsid w:val="009150BE"/>
    <w:pPr>
      <w:jc w:val="both"/>
    </w:pPr>
    <w:rPr>
      <w:rFonts w:ascii="Arial" w:hAnsi="Arial"/>
      <w:sz w:val="24"/>
      <w:szCs w:val="24"/>
      <w:lang w:eastAsia="en-US"/>
    </w:rPr>
  </w:style>
  <w:style w:type="paragraph" w:styleId="NormalWeb">
    <w:name w:val="Normal (Web)"/>
    <w:basedOn w:val="Normal"/>
    <w:rsid w:val="009150BE"/>
    <w:rPr>
      <w:rFonts w:ascii="Times New Roman" w:hAnsi="Times New Roman"/>
    </w:rPr>
  </w:style>
  <w:style w:type="paragraph" w:styleId="NormalIndent">
    <w:name w:val="Normal Indent"/>
    <w:basedOn w:val="Normal"/>
    <w:rsid w:val="009150BE"/>
    <w:pPr>
      <w:ind w:left="720"/>
    </w:pPr>
  </w:style>
  <w:style w:type="paragraph" w:styleId="NoteHeading">
    <w:name w:val="Note Heading"/>
    <w:basedOn w:val="Normal"/>
    <w:next w:val="Normal"/>
    <w:link w:val="NoteHeadingChar"/>
    <w:rsid w:val="009150BE"/>
  </w:style>
  <w:style w:type="character" w:customStyle="1" w:styleId="NoteHeadingChar">
    <w:name w:val="Note Heading Char"/>
    <w:basedOn w:val="DefaultParagraphFont"/>
    <w:link w:val="NoteHeading"/>
    <w:rsid w:val="009150BE"/>
    <w:rPr>
      <w:rFonts w:ascii="Arial" w:hAnsi="Arial"/>
      <w:sz w:val="24"/>
      <w:szCs w:val="24"/>
      <w:lang w:eastAsia="en-US"/>
    </w:rPr>
  </w:style>
  <w:style w:type="character" w:styleId="PageNumber">
    <w:name w:val="page number"/>
    <w:basedOn w:val="DefaultParagraphFont"/>
    <w:rsid w:val="009150BE"/>
  </w:style>
  <w:style w:type="character" w:styleId="PlaceholderText">
    <w:name w:val="Placeholder Text"/>
    <w:basedOn w:val="DefaultParagraphFont"/>
    <w:uiPriority w:val="99"/>
    <w:semiHidden/>
    <w:rsid w:val="009150BE"/>
    <w:rPr>
      <w:color w:val="808080"/>
    </w:rPr>
  </w:style>
  <w:style w:type="paragraph" w:styleId="PlainText">
    <w:name w:val="Plain Text"/>
    <w:basedOn w:val="Normal"/>
    <w:link w:val="PlainTextChar"/>
    <w:rsid w:val="009150BE"/>
    <w:rPr>
      <w:rFonts w:ascii="Consolas" w:hAnsi="Consolas" w:cs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rsid w:val="009150BE"/>
    <w:rPr>
      <w:rFonts w:ascii="Consolas" w:hAnsi="Consolas" w:cs="Consolas"/>
      <w:sz w:val="21"/>
      <w:szCs w:val="21"/>
      <w:lang w:eastAsia="en-US"/>
    </w:rPr>
  </w:style>
  <w:style w:type="paragraph" w:styleId="Quote">
    <w:name w:val="Quote"/>
    <w:basedOn w:val="Normal"/>
    <w:next w:val="Normal"/>
    <w:link w:val="QuoteChar"/>
    <w:uiPriority w:val="29"/>
    <w:rsid w:val="009150BE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9150BE"/>
    <w:rPr>
      <w:rFonts w:ascii="Arial" w:hAnsi="Arial"/>
      <w:i/>
      <w:iCs/>
      <w:color w:val="000000" w:themeColor="text1"/>
      <w:sz w:val="24"/>
      <w:szCs w:val="24"/>
      <w:lang w:eastAsia="en-US"/>
    </w:rPr>
  </w:style>
  <w:style w:type="paragraph" w:styleId="Salutation">
    <w:name w:val="Salutation"/>
    <w:basedOn w:val="Normal"/>
    <w:next w:val="Normal"/>
    <w:link w:val="SalutationChar"/>
    <w:rsid w:val="009150BE"/>
  </w:style>
  <w:style w:type="character" w:customStyle="1" w:styleId="SalutationChar">
    <w:name w:val="Salutation Char"/>
    <w:basedOn w:val="DefaultParagraphFont"/>
    <w:link w:val="Salutation"/>
    <w:rsid w:val="009150BE"/>
    <w:rPr>
      <w:rFonts w:ascii="Arial" w:hAnsi="Arial"/>
      <w:sz w:val="24"/>
      <w:szCs w:val="24"/>
      <w:lang w:eastAsia="en-US"/>
    </w:rPr>
  </w:style>
  <w:style w:type="paragraph" w:styleId="Signature">
    <w:name w:val="Signature"/>
    <w:basedOn w:val="Normal"/>
    <w:link w:val="SignatureChar"/>
    <w:rsid w:val="009150BE"/>
    <w:pPr>
      <w:ind w:left="4252"/>
    </w:pPr>
  </w:style>
  <w:style w:type="character" w:customStyle="1" w:styleId="SignatureChar">
    <w:name w:val="Signature Char"/>
    <w:basedOn w:val="DefaultParagraphFont"/>
    <w:link w:val="Signature"/>
    <w:rsid w:val="009150BE"/>
    <w:rPr>
      <w:rFonts w:ascii="Arial" w:hAnsi="Arial"/>
      <w:sz w:val="24"/>
      <w:szCs w:val="24"/>
      <w:lang w:eastAsia="en-US"/>
    </w:rPr>
  </w:style>
  <w:style w:type="character" w:styleId="Strong">
    <w:name w:val="Strong"/>
    <w:basedOn w:val="DefaultParagraphFont"/>
    <w:rsid w:val="009150BE"/>
    <w:rPr>
      <w:b/>
      <w:bCs/>
    </w:rPr>
  </w:style>
  <w:style w:type="paragraph" w:styleId="Subtitle">
    <w:name w:val="Subtitle"/>
    <w:basedOn w:val="Normal"/>
    <w:next w:val="Normal"/>
    <w:link w:val="SubtitleChar"/>
    <w:rsid w:val="009150B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SubtitleChar">
    <w:name w:val="Subtitle Char"/>
    <w:basedOn w:val="DefaultParagraphFont"/>
    <w:link w:val="Subtitle"/>
    <w:rsid w:val="009150B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  <w:style w:type="character" w:styleId="SubtleEmphasis">
    <w:name w:val="Subtle Emphasis"/>
    <w:basedOn w:val="DefaultParagraphFont"/>
    <w:uiPriority w:val="19"/>
    <w:rsid w:val="009150BE"/>
    <w:rPr>
      <w:i/>
      <w:iCs/>
      <w:color w:val="808080" w:themeColor="text1" w:themeTint="7F"/>
    </w:rPr>
  </w:style>
  <w:style w:type="character" w:styleId="SubtleReference">
    <w:name w:val="Subtle Reference"/>
    <w:basedOn w:val="DefaultParagraphFont"/>
    <w:uiPriority w:val="31"/>
    <w:rsid w:val="009150BE"/>
    <w:rPr>
      <w:smallCaps/>
      <w:color w:val="C0504D" w:themeColor="accent2"/>
      <w:u w:val="single"/>
    </w:rPr>
  </w:style>
  <w:style w:type="table" w:styleId="Table3Deffects1">
    <w:name w:val="Table 3D effects 1"/>
    <w:basedOn w:val="TableNormal"/>
    <w:rsid w:val="009150BE"/>
    <w:pPr>
      <w:jc w:val="both"/>
    </w:p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rsid w:val="009150BE"/>
    <w:pPr>
      <w:jc w:val="both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rsid w:val="009150BE"/>
    <w:pPr>
      <w:jc w:val="both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rsid w:val="009150BE"/>
    <w:pPr>
      <w:jc w:val="both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rsid w:val="009150BE"/>
    <w:pPr>
      <w:jc w:val="both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rsid w:val="009150BE"/>
    <w:pPr>
      <w:jc w:val="both"/>
    </w:pPr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rsid w:val="009150BE"/>
    <w:pPr>
      <w:jc w:val="both"/>
    </w:p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rsid w:val="009150BE"/>
    <w:pPr>
      <w:jc w:val="both"/>
    </w:pPr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rsid w:val="009150BE"/>
    <w:pPr>
      <w:jc w:val="both"/>
    </w:p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rsid w:val="009150BE"/>
    <w:pPr>
      <w:jc w:val="both"/>
    </w:p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rsid w:val="009150BE"/>
    <w:pPr>
      <w:jc w:val="both"/>
    </w:pPr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rsid w:val="009150BE"/>
    <w:pPr>
      <w:jc w:val="both"/>
    </w:pPr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rsid w:val="009150BE"/>
    <w:pPr>
      <w:jc w:val="both"/>
    </w:pPr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rsid w:val="009150BE"/>
    <w:pPr>
      <w:jc w:val="both"/>
    </w:p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rsid w:val="009150BE"/>
    <w:pPr>
      <w:jc w:val="both"/>
    </w:p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rsid w:val="009150BE"/>
    <w:pPr>
      <w:jc w:val="both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rsid w:val="009150BE"/>
    <w:pPr>
      <w:jc w:val="both"/>
    </w:p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">
    <w:name w:val="Table Grid"/>
    <w:basedOn w:val="TableNormal"/>
    <w:rsid w:val="009150BE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TableGrid1">
    <w:name w:val="Table Grid 1"/>
    <w:basedOn w:val="TableNormal"/>
    <w:rsid w:val="009150BE"/>
    <w:pPr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rsid w:val="009150BE"/>
    <w:pPr>
      <w:jc w:val="both"/>
    </w:p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rsid w:val="009150BE"/>
    <w:pPr>
      <w:jc w:val="both"/>
    </w:p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rsid w:val="009150BE"/>
    <w:pPr>
      <w:jc w:val="both"/>
    </w:p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rsid w:val="009150BE"/>
    <w:pPr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rsid w:val="009150BE"/>
    <w:pPr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rsid w:val="009150BE"/>
    <w:pPr>
      <w:jc w:val="both"/>
    </w:pPr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rsid w:val="009150BE"/>
    <w:pPr>
      <w:jc w:val="both"/>
    </w:p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1">
    <w:name w:val="Table List 1"/>
    <w:basedOn w:val="TableNormal"/>
    <w:rsid w:val="009150BE"/>
    <w:pPr>
      <w:jc w:val="both"/>
    </w:p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rsid w:val="009150BE"/>
    <w:pPr>
      <w:jc w:val="both"/>
    </w:p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rsid w:val="009150BE"/>
    <w:pPr>
      <w:jc w:val="both"/>
    </w:p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rsid w:val="009150BE"/>
    <w:pPr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rsid w:val="009150BE"/>
    <w:pPr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rsid w:val="009150BE"/>
    <w:pPr>
      <w:jc w:val="both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rsid w:val="009150BE"/>
    <w:pPr>
      <w:jc w:val="both"/>
    </w:p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rsid w:val="009150BE"/>
    <w:pPr>
      <w:jc w:val="both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rsid w:val="009150BE"/>
    <w:pPr>
      <w:ind w:left="240" w:hanging="240"/>
    </w:pPr>
  </w:style>
  <w:style w:type="paragraph" w:styleId="TableofFigures">
    <w:name w:val="table of figures"/>
    <w:basedOn w:val="Normal"/>
    <w:next w:val="Normal"/>
    <w:rsid w:val="009150BE"/>
  </w:style>
  <w:style w:type="table" w:styleId="TableProfessional">
    <w:name w:val="Table Professional"/>
    <w:basedOn w:val="TableNormal"/>
    <w:rsid w:val="009150BE"/>
    <w:pPr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rsid w:val="009150BE"/>
    <w:pPr>
      <w:jc w:val="both"/>
    </w:p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rsid w:val="009150BE"/>
    <w:pPr>
      <w:jc w:val="both"/>
    </w:p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rsid w:val="009150BE"/>
    <w:pPr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rsid w:val="009150BE"/>
    <w:pPr>
      <w:jc w:val="both"/>
    </w:p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rsid w:val="009150BE"/>
    <w:pPr>
      <w:jc w:val="both"/>
    </w:p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rsid w:val="009150BE"/>
    <w:pPr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rsid w:val="009150BE"/>
    <w:pPr>
      <w:jc w:val="both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rsid w:val="009150BE"/>
    <w:pPr>
      <w:jc w:val="both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rsid w:val="009150BE"/>
    <w:pPr>
      <w:jc w:val="both"/>
    </w:p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itle">
    <w:name w:val="Title"/>
    <w:basedOn w:val="Normal"/>
    <w:next w:val="Normal"/>
    <w:link w:val="TitleChar"/>
    <w:rsid w:val="009150BE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9150B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paragraph" w:styleId="TOAHeading">
    <w:name w:val="toa heading"/>
    <w:basedOn w:val="Normal"/>
    <w:next w:val="Normal"/>
    <w:rsid w:val="009150BE"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TOC1">
    <w:name w:val="toc 1"/>
    <w:basedOn w:val="Normal"/>
    <w:next w:val="Normal"/>
    <w:autoRedefine/>
    <w:rsid w:val="009150BE"/>
    <w:pPr>
      <w:spacing w:after="100"/>
    </w:pPr>
  </w:style>
  <w:style w:type="paragraph" w:styleId="TOC2">
    <w:name w:val="toc 2"/>
    <w:basedOn w:val="Normal"/>
    <w:next w:val="Normal"/>
    <w:autoRedefine/>
    <w:rsid w:val="009150BE"/>
    <w:pPr>
      <w:spacing w:after="100"/>
      <w:ind w:left="240"/>
    </w:pPr>
  </w:style>
  <w:style w:type="paragraph" w:styleId="TOC3">
    <w:name w:val="toc 3"/>
    <w:basedOn w:val="Normal"/>
    <w:next w:val="Normal"/>
    <w:autoRedefine/>
    <w:rsid w:val="009150BE"/>
    <w:pPr>
      <w:spacing w:after="100"/>
      <w:ind w:left="480"/>
    </w:pPr>
  </w:style>
  <w:style w:type="paragraph" w:styleId="TOC4">
    <w:name w:val="toc 4"/>
    <w:basedOn w:val="Normal"/>
    <w:next w:val="Normal"/>
    <w:autoRedefine/>
    <w:rsid w:val="009150BE"/>
    <w:pPr>
      <w:spacing w:after="100"/>
      <w:ind w:left="720"/>
    </w:pPr>
  </w:style>
  <w:style w:type="paragraph" w:styleId="TOC5">
    <w:name w:val="toc 5"/>
    <w:basedOn w:val="Normal"/>
    <w:next w:val="Normal"/>
    <w:autoRedefine/>
    <w:rsid w:val="009150BE"/>
    <w:pPr>
      <w:spacing w:after="100"/>
      <w:ind w:left="960"/>
    </w:pPr>
  </w:style>
  <w:style w:type="paragraph" w:styleId="TOC6">
    <w:name w:val="toc 6"/>
    <w:basedOn w:val="Normal"/>
    <w:next w:val="Normal"/>
    <w:autoRedefine/>
    <w:rsid w:val="009150BE"/>
    <w:pPr>
      <w:spacing w:after="100"/>
      <w:ind w:left="1200"/>
    </w:pPr>
  </w:style>
  <w:style w:type="paragraph" w:styleId="TOC7">
    <w:name w:val="toc 7"/>
    <w:basedOn w:val="Normal"/>
    <w:next w:val="Normal"/>
    <w:autoRedefine/>
    <w:rsid w:val="009150BE"/>
    <w:pPr>
      <w:spacing w:after="100"/>
      <w:ind w:left="1440"/>
    </w:pPr>
  </w:style>
  <w:style w:type="paragraph" w:styleId="TOC8">
    <w:name w:val="toc 8"/>
    <w:basedOn w:val="Normal"/>
    <w:next w:val="Normal"/>
    <w:autoRedefine/>
    <w:rsid w:val="009150BE"/>
    <w:pPr>
      <w:spacing w:after="100"/>
      <w:ind w:left="1680"/>
    </w:pPr>
  </w:style>
  <w:style w:type="paragraph" w:styleId="TOC9">
    <w:name w:val="toc 9"/>
    <w:basedOn w:val="Normal"/>
    <w:next w:val="Normal"/>
    <w:autoRedefine/>
    <w:rsid w:val="009150BE"/>
    <w:pPr>
      <w:spacing w:after="100"/>
      <w:ind w:left="192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9150BE"/>
    <w:pPr>
      <w:outlineLvl w:val="9"/>
    </w:pPr>
    <w:rPr>
      <w:rFonts w:asciiTheme="majorHAnsi" w:hAnsiTheme="majorHAnsi"/>
      <w:color w:val="365F91" w:themeColor="accent1" w:themeShade="BF"/>
      <w:sz w:val="28"/>
    </w:rPr>
  </w:style>
  <w:style w:type="paragraph" w:styleId="Revision">
    <w:name w:val="Revision"/>
    <w:hidden/>
    <w:uiPriority w:val="99"/>
    <w:semiHidden/>
    <w:rsid w:val="00977362"/>
    <w:rPr>
      <w:rFonts w:ascii="Arial" w:hAnsi="Arial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chart" Target="charts/chart2.xml"/><Relationship Id="rId18" Type="http://schemas.openxmlformats.org/officeDocument/2006/relationships/chart" Target="charts/chart7.xml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header" Target="header2.xml"/><Relationship Id="rId7" Type="http://schemas.openxmlformats.org/officeDocument/2006/relationships/styles" Target="styles.xml"/><Relationship Id="rId12" Type="http://schemas.openxmlformats.org/officeDocument/2006/relationships/chart" Target="charts/chart1.xml"/><Relationship Id="rId17" Type="http://schemas.openxmlformats.org/officeDocument/2006/relationships/chart" Target="charts/chart6.xml"/><Relationship Id="rId25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chart" Target="charts/chart5.xml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header" Target="header3.xml"/><Relationship Id="rId5" Type="http://schemas.openxmlformats.org/officeDocument/2006/relationships/customXml" Target="../customXml/item5.xml"/><Relationship Id="rId15" Type="http://schemas.openxmlformats.org/officeDocument/2006/relationships/chart" Target="charts/chart4.xml"/><Relationship Id="rId23" Type="http://schemas.openxmlformats.org/officeDocument/2006/relationships/footer" Target="footer2.xml"/><Relationship Id="rId10" Type="http://schemas.openxmlformats.org/officeDocument/2006/relationships/footnotes" Target="footnotes.xml"/><Relationship Id="rId19" Type="http://schemas.openxmlformats.org/officeDocument/2006/relationships/chart" Target="charts/chart8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chart" Target="charts/chart3.xml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http://odstore7.internal.dom/OurDocs41/Business/Open/Business/Policy/Policy%20-%20Economic%20data%20and%20research%20papers/Industry%20briefs%20and%20data/LNG/001002policy.data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Microsoft_Excel_Worksheet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http://odstore7.internal.dom/OurDocs41/Business/Open/Business/Policy/Policy%20-%20Economic%20data%20and%20research%20papers/Industry%20briefs%20and%20data/LNG/001002policy.data.xlsx" TargetMode="Externa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oleObject" Target="http://odstore7.internal.dom/OurDocs41/Business/Open/Business/Policy/Policy%20-%20Economic%20data%20and%20research%20papers/Industry%20briefs%20and%20data/LNG/001002policy.data.xlsx" TargetMode="External"/><Relationship Id="rId1" Type="http://schemas.openxmlformats.org/officeDocument/2006/relationships/themeOverride" Target="../theme/themeOverride1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oleObject" Target="http://odstore7.internal.dom/OurDocs41/Business/Open/Business/Policy/Policy%20-%20Economic%20data%20and%20research%20papers/Industry%20briefs%20and%20data/LNG/001002policy.data.xlsx" TargetMode="External"/><Relationship Id="rId1" Type="http://schemas.openxmlformats.org/officeDocument/2006/relationships/themeOverride" Target="../theme/themeOverride2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oleObject" Target="http://odstore7.internal.dom/OurDocs41/Business/Open/Business/Policy/Policy%20-%20Economic%20data%20and%20research%20papers/Industry%20briefs%20and%20data/LNG/001002policy.data.xlsx" TargetMode="Externa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oleObject" Target="http://odstore7.internal.dom/OurDocs41/Business/Open/Business/Policy/Policy%20-%20Economic%20data%20and%20research%20papers/Industry%20briefs%20and%20data/LNG/001002policy.data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362718676122932"/>
          <c:y val="4.6418253968253977E-2"/>
          <c:w val="0.85215130023640662"/>
          <c:h val="0.76048174603174601"/>
        </c:manualLayout>
      </c:layout>
      <c:barChart>
        <c:barDir val="col"/>
        <c:grouping val="stacked"/>
        <c:varyColors val="0"/>
        <c:ser>
          <c:idx val="17"/>
          <c:order val="0"/>
          <c:tx>
            <c:strRef>
              <c:f>'Global LNG trade'!$A$8</c:f>
              <c:strCache>
                <c:ptCount val="1"/>
                <c:pt idx="0">
                  <c:v>Long &amp; medium term contracts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numRef>
              <c:f>'Global LNG trade'!$B$7:$U$7</c:f>
              <c:numCache>
                <c:formatCode>General</c:formatCode>
                <c:ptCount val="20"/>
                <c:pt idx="0">
                  <c:v>2000</c:v>
                </c:pt>
                <c:pt idx="1">
                  <c:v>2001</c:v>
                </c:pt>
                <c:pt idx="2">
                  <c:v>2002</c:v>
                </c:pt>
                <c:pt idx="3">
                  <c:v>2003</c:v>
                </c:pt>
                <c:pt idx="4">
                  <c:v>2004</c:v>
                </c:pt>
                <c:pt idx="5">
                  <c:v>2005</c:v>
                </c:pt>
                <c:pt idx="6">
                  <c:v>2006</c:v>
                </c:pt>
                <c:pt idx="7">
                  <c:v>2007</c:v>
                </c:pt>
                <c:pt idx="8">
                  <c:v>2008</c:v>
                </c:pt>
                <c:pt idx="9">
                  <c:v>2009</c:v>
                </c:pt>
                <c:pt idx="10">
                  <c:v>2010</c:v>
                </c:pt>
                <c:pt idx="11">
                  <c:v>2011</c:v>
                </c:pt>
                <c:pt idx="12">
                  <c:v>2012</c:v>
                </c:pt>
                <c:pt idx="13">
                  <c:v>2013</c:v>
                </c:pt>
                <c:pt idx="14">
                  <c:v>2014</c:v>
                </c:pt>
                <c:pt idx="15">
                  <c:v>2015</c:v>
                </c:pt>
                <c:pt idx="16">
                  <c:v>2016</c:v>
                </c:pt>
                <c:pt idx="17">
                  <c:v>2017</c:v>
                </c:pt>
                <c:pt idx="18">
                  <c:v>2018</c:v>
                </c:pt>
                <c:pt idx="19">
                  <c:v>2019</c:v>
                </c:pt>
              </c:numCache>
            </c:numRef>
          </c:cat>
          <c:val>
            <c:numRef>
              <c:f>'Global LNG trade'!$B$8:$U$8</c:f>
              <c:numCache>
                <c:formatCode>0.0</c:formatCode>
                <c:ptCount val="20"/>
                <c:pt idx="0">
                  <c:v>96.320000000000007</c:v>
                </c:pt>
                <c:pt idx="1">
                  <c:v>98.134</c:v>
                </c:pt>
                <c:pt idx="2">
                  <c:v>103.67</c:v>
                </c:pt>
                <c:pt idx="3">
                  <c:v>111.752</c:v>
                </c:pt>
                <c:pt idx="4">
                  <c:v>115.94700000000002</c:v>
                </c:pt>
                <c:pt idx="5">
                  <c:v>123.63900000000001</c:v>
                </c:pt>
                <c:pt idx="6">
                  <c:v>133.84899999999999</c:v>
                </c:pt>
                <c:pt idx="7">
                  <c:v>155.82723213638192</c:v>
                </c:pt>
                <c:pt idx="8">
                  <c:v>141.87227043583781</c:v>
                </c:pt>
                <c:pt idx="9">
                  <c:v>152.59899999999999</c:v>
                </c:pt>
                <c:pt idx="10">
                  <c:v>179.17000000000002</c:v>
                </c:pt>
                <c:pt idx="11">
                  <c:v>179.59</c:v>
                </c:pt>
                <c:pt idx="12">
                  <c:v>177.11</c:v>
                </c:pt>
                <c:pt idx="13">
                  <c:v>171.93</c:v>
                </c:pt>
                <c:pt idx="14">
                  <c:v>169.60000000000002</c:v>
                </c:pt>
                <c:pt idx="15">
                  <c:v>176.8</c:v>
                </c:pt>
                <c:pt idx="16">
                  <c:v>188.14100000000002</c:v>
                </c:pt>
                <c:pt idx="17">
                  <c:v>212.256</c:v>
                </c:pt>
                <c:pt idx="18">
                  <c:v>214.50200000000001</c:v>
                </c:pt>
                <c:pt idx="19">
                  <c:v>235.77600000000001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C99-4F52-A933-0BBC4CA9D82C}"/>
            </c:ext>
          </c:extLst>
        </c:ser>
        <c:ser>
          <c:idx val="16"/>
          <c:order val="1"/>
          <c:tx>
            <c:strRef>
              <c:f>'Global LNG trade'!$A$9</c:f>
              <c:strCache>
                <c:ptCount val="1"/>
                <c:pt idx="0">
                  <c:v>Spot &amp; short-term contracts</c:v>
                </c:pt>
              </c:strCache>
            </c:strRef>
          </c:tx>
          <c:spPr>
            <a:solidFill>
              <a:schemeClr val="accent2">
                <a:lumMod val="40000"/>
                <a:lumOff val="60000"/>
              </a:schemeClr>
            </a:solidFill>
            <a:ln>
              <a:noFill/>
            </a:ln>
            <a:effectLst/>
          </c:spPr>
          <c:invertIfNegative val="0"/>
          <c:cat>
            <c:numRef>
              <c:f>'Global LNG trade'!$B$7:$U$7</c:f>
              <c:numCache>
                <c:formatCode>General</c:formatCode>
                <c:ptCount val="20"/>
                <c:pt idx="0">
                  <c:v>2000</c:v>
                </c:pt>
                <c:pt idx="1">
                  <c:v>2001</c:v>
                </c:pt>
                <c:pt idx="2">
                  <c:v>2002</c:v>
                </c:pt>
                <c:pt idx="3">
                  <c:v>2003</c:v>
                </c:pt>
                <c:pt idx="4">
                  <c:v>2004</c:v>
                </c:pt>
                <c:pt idx="5">
                  <c:v>2005</c:v>
                </c:pt>
                <c:pt idx="6">
                  <c:v>2006</c:v>
                </c:pt>
                <c:pt idx="7">
                  <c:v>2007</c:v>
                </c:pt>
                <c:pt idx="8">
                  <c:v>2008</c:v>
                </c:pt>
                <c:pt idx="9">
                  <c:v>2009</c:v>
                </c:pt>
                <c:pt idx="10">
                  <c:v>2010</c:v>
                </c:pt>
                <c:pt idx="11">
                  <c:v>2011</c:v>
                </c:pt>
                <c:pt idx="12">
                  <c:v>2012</c:v>
                </c:pt>
                <c:pt idx="13">
                  <c:v>2013</c:v>
                </c:pt>
                <c:pt idx="14">
                  <c:v>2014</c:v>
                </c:pt>
                <c:pt idx="15">
                  <c:v>2015</c:v>
                </c:pt>
                <c:pt idx="16">
                  <c:v>2016</c:v>
                </c:pt>
                <c:pt idx="17">
                  <c:v>2017</c:v>
                </c:pt>
                <c:pt idx="18">
                  <c:v>2018</c:v>
                </c:pt>
                <c:pt idx="19">
                  <c:v>2019</c:v>
                </c:pt>
              </c:numCache>
            </c:numRef>
          </c:cat>
          <c:val>
            <c:numRef>
              <c:f>'Global LNG trade'!$B$9:$U$9</c:f>
              <c:numCache>
                <c:formatCode>0.0</c:formatCode>
                <c:ptCount val="20"/>
                <c:pt idx="0">
                  <c:v>5.49</c:v>
                </c:pt>
                <c:pt idx="1">
                  <c:v>8.52</c:v>
                </c:pt>
                <c:pt idx="2">
                  <c:v>9.27</c:v>
                </c:pt>
                <c:pt idx="3">
                  <c:v>13.44</c:v>
                </c:pt>
                <c:pt idx="4">
                  <c:v>15.27</c:v>
                </c:pt>
                <c:pt idx="5">
                  <c:v>18.100000000000001</c:v>
                </c:pt>
                <c:pt idx="6">
                  <c:v>25.09</c:v>
                </c:pt>
                <c:pt idx="7">
                  <c:v>14.969767863618062</c:v>
                </c:pt>
                <c:pt idx="8">
                  <c:v>30.213729564162218</c:v>
                </c:pt>
                <c:pt idx="9">
                  <c:v>29.14</c:v>
                </c:pt>
                <c:pt idx="10">
                  <c:v>41.04</c:v>
                </c:pt>
                <c:pt idx="11">
                  <c:v>61.21</c:v>
                </c:pt>
                <c:pt idx="12">
                  <c:v>59.2</c:v>
                </c:pt>
                <c:pt idx="13">
                  <c:v>64.98</c:v>
                </c:pt>
                <c:pt idx="14">
                  <c:v>69.58</c:v>
                </c:pt>
                <c:pt idx="15">
                  <c:v>68.39</c:v>
                </c:pt>
                <c:pt idx="16">
                  <c:v>75.478999999999999</c:v>
                </c:pt>
                <c:pt idx="17">
                  <c:v>77.554000000000002</c:v>
                </c:pt>
                <c:pt idx="18">
                  <c:v>99.298000000000002</c:v>
                </c:pt>
                <c:pt idx="19">
                  <c:v>118.95399999999999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C99-4F52-A933-0BBC4CA9D82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5"/>
        <c:overlap val="100"/>
        <c:axId val="469433008"/>
        <c:axId val="469438584"/>
      </c:barChart>
      <c:catAx>
        <c:axId val="4694330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469438584"/>
        <c:crosses val="autoZero"/>
        <c:auto val="1"/>
        <c:lblAlgn val="ctr"/>
        <c:lblOffset val="100"/>
        <c:tickLblSkip val="2"/>
        <c:noMultiLvlLbl val="0"/>
      </c:catAx>
      <c:valAx>
        <c:axId val="469438584"/>
        <c:scaling>
          <c:orientation val="minMax"/>
        </c:scaling>
        <c:delete val="0"/>
        <c:axPos val="l"/>
        <c:majorGridlines>
          <c:spPr>
            <a:ln w="6350" cap="flat" cmpd="sng" algn="ctr">
              <a:solidFill>
                <a:schemeClr val="bg1">
                  <a:lumMod val="65000"/>
                </a:schemeClr>
              </a:solidFill>
              <a:prstDash val="solid"/>
              <a:round/>
            </a:ln>
            <a:effectLst/>
          </c:spPr>
        </c:majorGridlines>
        <c:numFmt formatCode="0\ &quot;mt&quot;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469433008"/>
        <c:crossesAt val="1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2205940995572978"/>
          <c:y val="0.90332756765246724"/>
          <c:w val="0.76160341545289656"/>
          <c:h val="7.13158597042798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800"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248675925925926"/>
          <c:y val="2.9955555555555558E-2"/>
          <c:w val="0.93734769647111726"/>
          <c:h val="0.85225555555555554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Exports!$F$6</c:f>
              <c:strCache>
                <c:ptCount val="1"/>
              </c:strCache>
            </c:strRef>
          </c:tx>
          <c:spPr>
            <a:solidFill>
              <a:schemeClr val="accent2"/>
            </a:solidFill>
          </c:spPr>
          <c:invertIfNegative val="0"/>
          <c:dPt>
            <c:idx val="1"/>
            <c:invertIfNegative val="0"/>
            <c:bubble3D val="0"/>
            <c:spPr>
              <a:solidFill>
                <a:schemeClr val="accent2">
                  <a:lumMod val="40000"/>
                  <a:lumOff val="6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1-56DA-452D-A116-33B1595179FB}"/>
              </c:ext>
            </c:extLst>
          </c:dPt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6DA-452D-A116-33B1595179FB}"/>
                </c:ext>
              </c:extLst>
            </c:dLbl>
            <c:dLbl>
              <c:idx val="1"/>
              <c:layout>
                <c:manualLayout>
                  <c:x val="0"/>
                  <c:y val="-0.1562301587301587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1-56DA-452D-A116-33B1595179FB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6DA-452D-A116-33B1595179FB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56DA-452D-A116-33B1595179FB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6DA-452D-A116-33B1595179FB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56DA-452D-A116-33B1595179FB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6DA-452D-A116-33B1595179FB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56DA-452D-A116-33B1595179F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solidFill>
                      <a:schemeClr val="bg1"/>
                    </a:solidFill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Exports!$E$7:$E$14</c:f>
              <c:strCache>
                <c:ptCount val="8"/>
                <c:pt idx="0">
                  <c:v>Qatar</c:v>
                </c:pt>
                <c:pt idx="1">
                  <c:v>Australia</c:v>
                </c:pt>
                <c:pt idx="2">
                  <c:v>USA</c:v>
                </c:pt>
                <c:pt idx="3">
                  <c:v>Russia</c:v>
                </c:pt>
                <c:pt idx="4">
                  <c:v>Malaysia</c:v>
                </c:pt>
                <c:pt idx="5">
                  <c:v>Nigeria</c:v>
                </c:pt>
                <c:pt idx="6">
                  <c:v>Indonesia</c:v>
                </c:pt>
                <c:pt idx="7">
                  <c:v>Rest of World</c:v>
                </c:pt>
              </c:strCache>
            </c:strRef>
          </c:cat>
          <c:val>
            <c:numRef>
              <c:f>Exports!$F$7:$F$14</c:f>
              <c:numCache>
                <c:formatCode>#,##0.0</c:formatCode>
                <c:ptCount val="8"/>
                <c:pt idx="0">
                  <c:v>0</c:v>
                </c:pt>
                <c:pt idx="1">
                  <c:v>44.147614446351064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56DA-452D-A116-33B1595179FB}"/>
            </c:ext>
          </c:extLst>
        </c:ser>
        <c:ser>
          <c:idx val="1"/>
          <c:order val="1"/>
          <c:tx>
            <c:strRef>
              <c:f>Exports!$G$6</c:f>
              <c:strCache>
                <c:ptCount val="1"/>
                <c:pt idx="0">
                  <c:v>Exports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b="1">
                    <a:solidFill>
                      <a:schemeClr val="bg1"/>
                    </a:solidFill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</c:ext>
            </c:extLst>
          </c:dLbls>
          <c:cat>
            <c:strRef>
              <c:f>Exports!$E$7:$E$14</c:f>
              <c:strCache>
                <c:ptCount val="8"/>
                <c:pt idx="0">
                  <c:v>Qatar</c:v>
                </c:pt>
                <c:pt idx="1">
                  <c:v>Australia</c:v>
                </c:pt>
                <c:pt idx="2">
                  <c:v>USA</c:v>
                </c:pt>
                <c:pt idx="3">
                  <c:v>Russia</c:v>
                </c:pt>
                <c:pt idx="4">
                  <c:v>Malaysia</c:v>
                </c:pt>
                <c:pt idx="5">
                  <c:v>Nigeria</c:v>
                </c:pt>
                <c:pt idx="6">
                  <c:v>Indonesia</c:v>
                </c:pt>
                <c:pt idx="7">
                  <c:v>Rest of World</c:v>
                </c:pt>
              </c:strCache>
            </c:strRef>
          </c:cat>
          <c:val>
            <c:numRef>
              <c:f>Exports!$G$7:$G$14</c:f>
              <c:numCache>
                <c:formatCode>#,##0.0</c:formatCode>
                <c:ptCount val="8"/>
                <c:pt idx="0">
                  <c:v>77.8</c:v>
                </c:pt>
                <c:pt idx="1">
                  <c:v>31.242385553648937</c:v>
                </c:pt>
                <c:pt idx="2">
                  <c:v>33.75</c:v>
                </c:pt>
                <c:pt idx="3">
                  <c:v>29.32</c:v>
                </c:pt>
                <c:pt idx="4">
                  <c:v>26.21</c:v>
                </c:pt>
                <c:pt idx="5">
                  <c:v>20.84</c:v>
                </c:pt>
                <c:pt idx="6">
                  <c:v>15.47</c:v>
                </c:pt>
                <c:pt idx="7">
                  <c:v>75.949999999999989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56DA-452D-A116-33B1595179FB}"/>
            </c:ext>
          </c:extLst>
        </c:ser>
        <c:dLbls>
          <c:dLblPos val="inBase"/>
          <c:showLegendKey val="0"/>
          <c:showVal val="1"/>
          <c:showCatName val="0"/>
          <c:showSerName val="0"/>
          <c:showPercent val="0"/>
          <c:showBubbleSize val="0"/>
        </c:dLbls>
        <c:gapWidth val="30"/>
        <c:overlap val="100"/>
        <c:axId val="134305280"/>
        <c:axId val="134306816"/>
      </c:barChart>
      <c:catAx>
        <c:axId val="134305280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800"/>
            </a:pPr>
            <a:endParaRPr lang="en-US"/>
          </a:p>
        </c:txPr>
        <c:crossAx val="134306816"/>
        <c:crosses val="autoZero"/>
        <c:auto val="1"/>
        <c:lblAlgn val="ctr"/>
        <c:lblOffset val="0"/>
        <c:noMultiLvlLbl val="0"/>
      </c:catAx>
      <c:valAx>
        <c:axId val="134306816"/>
        <c:scaling>
          <c:orientation val="minMax"/>
          <c:max val="80"/>
          <c:min val="0"/>
        </c:scaling>
        <c:delete val="0"/>
        <c:axPos val="l"/>
        <c:numFmt formatCode="0\ &quot;mt&quot;" sourceLinked="0"/>
        <c:majorTickMark val="in"/>
        <c:minorTickMark val="none"/>
        <c:tickLblPos val="nextTo"/>
        <c:spPr>
          <a:ln/>
        </c:spPr>
        <c:crossAx val="134305280"/>
        <c:crosses val="autoZero"/>
        <c:crossBetween val="between"/>
        <c:majorUnit val="20"/>
        <c:minorUnit val="10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800"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1">
    <c:autoUpdate val="0"/>
  </c:externalData>
  <c:userShapes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6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24826268591426071"/>
          <c:y val="4.6712962962962977E-2"/>
          <c:w val="0.69902909011373582"/>
          <c:h val="0.84588764946048411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Imports!$B$7</c:f>
              <c:strCache>
                <c:ptCount val="1"/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Pt>
            <c:idx val="1"/>
            <c:invertIfNegative val="0"/>
            <c:bubble3D val="0"/>
            <c:spPr>
              <a:solidFill>
                <a:schemeClr val="bg1">
                  <a:lumMod val="8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E391-4F18-99F5-E02A40791A53}"/>
              </c:ext>
            </c:extLst>
          </c:dPt>
          <c:dPt>
            <c:idx val="3"/>
            <c:invertIfNegative val="0"/>
            <c:bubble3D val="0"/>
            <c:spPr>
              <a:solidFill>
                <a:schemeClr val="bg1">
                  <a:lumMod val="6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E391-4F18-99F5-E02A40791A53}"/>
              </c:ext>
            </c:extLst>
          </c:dPt>
          <c:dPt>
            <c:idx val="5"/>
            <c:invertIfNegative val="0"/>
            <c:bubble3D val="0"/>
            <c:spPr>
              <a:solidFill>
                <a:schemeClr val="accent2">
                  <a:lumMod val="60000"/>
                  <a:lumOff val="40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E391-4F18-99F5-E02A40791A53}"/>
              </c:ext>
            </c:extLst>
          </c:dPt>
          <c:dPt>
            <c:idx val="7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7-E391-4F18-99F5-E02A40791A53}"/>
              </c:ext>
            </c:extLst>
          </c:dPt>
          <c:dPt>
            <c:idx val="8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9-E391-4F18-99F5-E02A40791A53}"/>
              </c:ext>
            </c:extLst>
          </c:dPt>
          <c:dPt>
            <c:idx val="9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B-E391-4F18-99F5-E02A40791A53}"/>
              </c:ext>
            </c:extLst>
          </c:dPt>
          <c:dPt>
            <c:idx val="10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D-E391-4F18-99F5-E02A40791A53}"/>
              </c:ext>
            </c:extLst>
          </c:dPt>
          <c:dPt>
            <c:idx val="11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F-E391-4F18-99F5-E02A40791A53}"/>
              </c:ext>
            </c:extLst>
          </c:dPt>
          <c:dPt>
            <c:idx val="12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11-E391-4F18-99F5-E02A40791A5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Imports!$A$8:$A$21</c:f>
              <c:strCache>
                <c:ptCount val="13"/>
                <c:pt idx="1">
                  <c:v>Middle East &amp; Africa</c:v>
                </c:pt>
                <c:pt idx="3">
                  <c:v>Americas</c:v>
                </c:pt>
                <c:pt idx="5">
                  <c:v>Europe</c:v>
                </c:pt>
                <c:pt idx="7">
                  <c:v>Other Asia</c:v>
                </c:pt>
                <c:pt idx="8">
                  <c:v>Taiwan</c:v>
                </c:pt>
                <c:pt idx="9">
                  <c:v>India</c:v>
                </c:pt>
                <c:pt idx="10">
                  <c:v>South Korea</c:v>
                </c:pt>
                <c:pt idx="11">
                  <c:v>China</c:v>
                </c:pt>
                <c:pt idx="12">
                  <c:v>Japan</c:v>
                </c:pt>
              </c:strCache>
            </c:strRef>
          </c:cat>
          <c:val>
            <c:numRef>
              <c:f>Imports!$B$8:$B$21</c:f>
              <c:numCache>
                <c:formatCode>0.0</c:formatCode>
                <c:ptCount val="14"/>
                <c:pt idx="1">
                  <c:v>6.94</c:v>
                </c:pt>
                <c:pt idx="3">
                  <c:v>15.75</c:v>
                </c:pt>
                <c:pt idx="5">
                  <c:v>85.89</c:v>
                </c:pt>
                <c:pt idx="7">
                  <c:v>26.829999999999984</c:v>
                </c:pt>
                <c:pt idx="8">
                  <c:v>16.66</c:v>
                </c:pt>
                <c:pt idx="9">
                  <c:v>23.98</c:v>
                </c:pt>
                <c:pt idx="10">
                  <c:v>40.14</c:v>
                </c:pt>
                <c:pt idx="11">
                  <c:v>61.68</c:v>
                </c:pt>
                <c:pt idx="12">
                  <c:v>76.87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2-E391-4F18-99F5-E02A40791A5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axId val="675625656"/>
        <c:axId val="675624344"/>
      </c:barChart>
      <c:catAx>
        <c:axId val="6756256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tint val="75000"/>
                <a:shade val="95000"/>
                <a:satMod val="10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675624344"/>
        <c:crosses val="autoZero"/>
        <c:auto val="1"/>
        <c:lblAlgn val="ctr"/>
        <c:lblOffset val="100"/>
        <c:noMultiLvlLbl val="0"/>
      </c:catAx>
      <c:valAx>
        <c:axId val="675624344"/>
        <c:scaling>
          <c:orientation val="minMax"/>
        </c:scaling>
        <c:delete val="0"/>
        <c:axPos val="b"/>
        <c:numFmt formatCode="0\ &quot;mt&quot;" sourceLinked="0"/>
        <c:majorTickMark val="in"/>
        <c:minorTickMark val="in"/>
        <c:tickLblPos val="nextTo"/>
        <c:spPr>
          <a:noFill/>
          <a:ln>
            <a:solidFill>
              <a:schemeClr val="tx1">
                <a:tint val="75000"/>
                <a:shade val="95000"/>
                <a:satMod val="105000"/>
              </a:schemeClr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675625656"/>
        <c:crosses val="autoZero"/>
        <c:crossBetween val="between"/>
        <c:minorUnit val="1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800"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8963947812534357E-2"/>
          <c:y val="4.4554284729007416E-2"/>
          <c:w val="0.93405357142857148"/>
          <c:h val="0.8078809027777778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'WA export capacity'!$B$9</c:f>
              <c:strCache>
                <c:ptCount val="1"/>
                <c:pt idx="0">
                  <c:v>North West Shelf</c:v>
                </c:pt>
              </c:strCache>
            </c:strRef>
          </c:tx>
          <c:spPr>
            <a:solidFill>
              <a:schemeClr val="accent2">
                <a:lumMod val="75000"/>
              </a:schemeClr>
            </a:solidFill>
            <a:ln w="25400">
              <a:noFill/>
            </a:ln>
          </c:spPr>
          <c:invertIfNegative val="0"/>
          <c:cat>
            <c:numRef>
              <c:f>'WA export capacity'!$A$12:$A$17</c:f>
              <c:numCache>
                <c:formatCode>General</c:formatCode>
                <c:ptCount val="6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</c:numCache>
            </c:numRef>
          </c:cat>
          <c:val>
            <c:numRef>
              <c:f>'WA export capacity'!$B$12:$B$17</c:f>
              <c:numCache>
                <c:formatCode>General</c:formatCode>
                <c:ptCount val="6"/>
                <c:pt idx="0">
                  <c:v>16.7</c:v>
                </c:pt>
                <c:pt idx="1">
                  <c:v>16.899999999999999</c:v>
                </c:pt>
                <c:pt idx="2">
                  <c:v>16.899999999999999</c:v>
                </c:pt>
                <c:pt idx="3">
                  <c:v>16.899999999999999</c:v>
                </c:pt>
                <c:pt idx="4">
                  <c:v>16.899999999999999</c:v>
                </c:pt>
                <c:pt idx="5">
                  <c:v>16.899999999999999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91C-44CE-B9DA-05240147F745}"/>
            </c:ext>
          </c:extLst>
        </c:ser>
        <c:ser>
          <c:idx val="1"/>
          <c:order val="1"/>
          <c:tx>
            <c:strRef>
              <c:f>'WA export capacity'!$C$9</c:f>
              <c:strCache>
                <c:ptCount val="1"/>
                <c:pt idx="0">
                  <c:v>Pluto</c:v>
                </c:pt>
              </c:strCache>
            </c:strRef>
          </c:tx>
          <c:spPr>
            <a:solidFill>
              <a:schemeClr val="accent2"/>
            </a:solidFill>
            <a:ln w="25400">
              <a:noFill/>
            </a:ln>
          </c:spPr>
          <c:invertIfNegative val="0"/>
          <c:cat>
            <c:numRef>
              <c:f>'WA export capacity'!$A$12:$A$17</c:f>
              <c:numCache>
                <c:formatCode>General</c:formatCode>
                <c:ptCount val="6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</c:numCache>
            </c:numRef>
          </c:cat>
          <c:val>
            <c:numRef>
              <c:f>'WA export capacity'!$C$12:$C$17</c:f>
              <c:numCache>
                <c:formatCode>General</c:formatCode>
                <c:ptCount val="6"/>
                <c:pt idx="0">
                  <c:v>4.3</c:v>
                </c:pt>
                <c:pt idx="1">
                  <c:v>4.9000000000000004</c:v>
                </c:pt>
                <c:pt idx="2">
                  <c:v>4.9000000000000004</c:v>
                </c:pt>
                <c:pt idx="3">
                  <c:v>4.9000000000000004</c:v>
                </c:pt>
                <c:pt idx="4">
                  <c:v>4.9000000000000004</c:v>
                </c:pt>
                <c:pt idx="5">
                  <c:v>4.9000000000000004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91C-44CE-B9DA-05240147F745}"/>
            </c:ext>
          </c:extLst>
        </c:ser>
        <c:ser>
          <c:idx val="2"/>
          <c:order val="2"/>
          <c:tx>
            <c:strRef>
              <c:f>'WA export capacity'!$D$9</c:f>
              <c:strCache>
                <c:ptCount val="1"/>
                <c:pt idx="0">
                  <c:v>Gorgon</c:v>
                </c:pt>
              </c:strCache>
            </c:strRef>
          </c:tx>
          <c:spPr>
            <a:solidFill>
              <a:schemeClr val="accent2">
                <a:lumMod val="60000"/>
                <a:lumOff val="40000"/>
              </a:schemeClr>
            </a:solidFill>
            <a:ln w="25400">
              <a:noFill/>
            </a:ln>
          </c:spPr>
          <c:invertIfNegative val="0"/>
          <c:cat>
            <c:numRef>
              <c:f>'WA export capacity'!$A$12:$A$17</c:f>
              <c:numCache>
                <c:formatCode>General</c:formatCode>
                <c:ptCount val="6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</c:numCache>
            </c:numRef>
          </c:cat>
          <c:val>
            <c:numRef>
              <c:f>'WA export capacity'!$D$12:$D$17</c:f>
              <c:numCache>
                <c:formatCode>General</c:formatCode>
                <c:ptCount val="6"/>
                <c:pt idx="0">
                  <c:v>0</c:v>
                </c:pt>
                <c:pt idx="1">
                  <c:v>10.4</c:v>
                </c:pt>
                <c:pt idx="2">
                  <c:v>15.6</c:v>
                </c:pt>
                <c:pt idx="3">
                  <c:v>15.6</c:v>
                </c:pt>
                <c:pt idx="4">
                  <c:v>15.6</c:v>
                </c:pt>
                <c:pt idx="5">
                  <c:v>15.6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591C-44CE-B9DA-05240147F745}"/>
            </c:ext>
          </c:extLst>
        </c:ser>
        <c:ser>
          <c:idx val="3"/>
          <c:order val="3"/>
          <c:tx>
            <c:strRef>
              <c:f>'WA export capacity'!$E$9</c:f>
              <c:strCache>
                <c:ptCount val="1"/>
                <c:pt idx="0">
                  <c:v>Wheatstone</c:v>
                </c:pt>
              </c:strCache>
            </c:strRef>
          </c:tx>
          <c:spPr>
            <a:solidFill>
              <a:schemeClr val="accent2">
                <a:lumMod val="20000"/>
                <a:lumOff val="80000"/>
              </a:schemeClr>
            </a:solidFill>
            <a:ln w="25400">
              <a:noFill/>
            </a:ln>
          </c:spPr>
          <c:invertIfNegative val="0"/>
          <c:cat>
            <c:numRef>
              <c:f>'WA export capacity'!$A$12:$A$17</c:f>
              <c:numCache>
                <c:formatCode>General</c:formatCode>
                <c:ptCount val="6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</c:numCache>
            </c:numRef>
          </c:cat>
          <c:val>
            <c:numRef>
              <c:f>'WA export capacity'!$E$12:$E$17</c:f>
              <c:numCache>
                <c:formatCode>General</c:formatCode>
                <c:ptCount val="6"/>
                <c:pt idx="0">
                  <c:v>0</c:v>
                </c:pt>
                <c:pt idx="1">
                  <c:v>0</c:v>
                </c:pt>
                <c:pt idx="2">
                  <c:v>4.45</c:v>
                </c:pt>
                <c:pt idx="3">
                  <c:v>8.9</c:v>
                </c:pt>
                <c:pt idx="4">
                  <c:v>8.9</c:v>
                </c:pt>
                <c:pt idx="5">
                  <c:v>8.9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591C-44CE-B9DA-05240147F745}"/>
            </c:ext>
          </c:extLst>
        </c:ser>
        <c:ser>
          <c:idx val="4"/>
          <c:order val="4"/>
          <c:tx>
            <c:strRef>
              <c:f>'WA export capacity'!$F$9</c:f>
              <c:strCache>
                <c:ptCount val="1"/>
                <c:pt idx="0">
                  <c:v>Prelude FLNG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 w="25400">
              <a:noFill/>
            </a:ln>
          </c:spPr>
          <c:invertIfNegative val="0"/>
          <c:dPt>
            <c:idx val="4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4-591C-44CE-B9DA-05240147F745}"/>
              </c:ext>
            </c:extLst>
          </c:dPt>
          <c:cat>
            <c:numRef>
              <c:f>'WA export capacity'!$A$12:$A$17</c:f>
              <c:numCache>
                <c:formatCode>General</c:formatCode>
                <c:ptCount val="6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</c:numCache>
            </c:numRef>
          </c:cat>
          <c:val>
            <c:numRef>
              <c:f>'WA export capacity'!$F$12:$F$17</c:f>
              <c:numCache>
                <c:formatCode>General</c:formatCode>
                <c:ptCount val="6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3.6</c:v>
                </c:pt>
                <c:pt idx="5">
                  <c:v>3.6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591C-44CE-B9DA-05240147F74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"/>
        <c:overlap val="100"/>
        <c:axId val="116505600"/>
        <c:axId val="116511488"/>
      </c:barChart>
      <c:catAx>
        <c:axId val="1165056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ln/>
        </c:spPr>
        <c:crossAx val="116511488"/>
        <c:crosses val="autoZero"/>
        <c:auto val="1"/>
        <c:lblAlgn val="ctr"/>
        <c:lblOffset val="0"/>
        <c:noMultiLvlLbl val="0"/>
      </c:catAx>
      <c:valAx>
        <c:axId val="116511488"/>
        <c:scaling>
          <c:orientation val="minMax"/>
          <c:max val="50"/>
        </c:scaling>
        <c:delete val="0"/>
        <c:axPos val="l"/>
        <c:numFmt formatCode="0\ &quot;mt&quot;" sourceLinked="0"/>
        <c:majorTickMark val="in"/>
        <c:minorTickMark val="none"/>
        <c:tickLblPos val="nextTo"/>
        <c:spPr>
          <a:ln/>
        </c:spPr>
        <c:crossAx val="116505600"/>
        <c:crosses val="autoZero"/>
        <c:crossBetween val="between"/>
        <c:majorUnit val="10"/>
        <c:minorUnit val="5"/>
      </c:valAx>
    </c:plotArea>
    <c:legend>
      <c:legendPos val="b"/>
      <c:layout>
        <c:manualLayout>
          <c:xMode val="edge"/>
          <c:yMode val="edge"/>
          <c:x val="0"/>
          <c:y val="0.91085104166666664"/>
          <c:w val="1"/>
          <c:h val="8.9148958333333334E-2"/>
        </c:manualLayout>
      </c:layout>
      <c:overlay val="0"/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800">
          <a:latin typeface="Arial" pitchFamily="34" charset="0"/>
          <a:cs typeface="Arial" pitchFamily="34" charset="0"/>
        </a:defRPr>
      </a:pPr>
      <a:endParaRPr lang="en-US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20119125295508278"/>
          <c:y val="3.4428027418126429E-2"/>
          <c:w val="0.63329550827423164"/>
          <c:h val="0.70635795887281039"/>
        </c:manualLayout>
      </c:layout>
      <c:areaChart>
        <c:grouping val="standard"/>
        <c:varyColors val="0"/>
        <c:ser>
          <c:idx val="2"/>
          <c:order val="3"/>
          <c:tx>
            <c:strRef>
              <c:f>Prices!$E$7</c:f>
              <c:strCache>
                <c:ptCount val="1"/>
                <c:pt idx="0">
                  <c:v>Crude oil - UK Brent ($US/bbl)</c:v>
                </c:pt>
              </c:strCache>
            </c:strRef>
          </c:tx>
          <c:spPr>
            <a:solidFill>
              <a:schemeClr val="bg1">
                <a:lumMod val="85000"/>
              </a:schemeClr>
            </a:solidFill>
            <a:ln>
              <a:noFill/>
            </a:ln>
          </c:spPr>
          <c:cat>
            <c:numRef>
              <c:f>Prices!$A$8:$A$127</c:f>
              <c:numCache>
                <c:formatCode>mmm\-yy</c:formatCode>
                <c:ptCount val="120"/>
                <c:pt idx="0">
                  <c:v>40391</c:v>
                </c:pt>
                <c:pt idx="1">
                  <c:v>40422</c:v>
                </c:pt>
                <c:pt idx="2">
                  <c:v>40452</c:v>
                </c:pt>
                <c:pt idx="3">
                  <c:v>40483</c:v>
                </c:pt>
                <c:pt idx="4">
                  <c:v>40513</c:v>
                </c:pt>
                <c:pt idx="5">
                  <c:v>40544</c:v>
                </c:pt>
                <c:pt idx="6">
                  <c:v>40575</c:v>
                </c:pt>
                <c:pt idx="7">
                  <c:v>40603</c:v>
                </c:pt>
                <c:pt idx="8">
                  <c:v>40634</c:v>
                </c:pt>
                <c:pt idx="9">
                  <c:v>40664</c:v>
                </c:pt>
                <c:pt idx="10">
                  <c:v>40695</c:v>
                </c:pt>
                <c:pt idx="11">
                  <c:v>40725</c:v>
                </c:pt>
                <c:pt idx="12">
                  <c:v>40756</c:v>
                </c:pt>
                <c:pt idx="13">
                  <c:v>40787</c:v>
                </c:pt>
                <c:pt idx="14">
                  <c:v>40817</c:v>
                </c:pt>
                <c:pt idx="15">
                  <c:v>40848</c:v>
                </c:pt>
                <c:pt idx="16">
                  <c:v>40878</c:v>
                </c:pt>
                <c:pt idx="17">
                  <c:v>40909</c:v>
                </c:pt>
                <c:pt idx="18">
                  <c:v>40940</c:v>
                </c:pt>
                <c:pt idx="19">
                  <c:v>40969</c:v>
                </c:pt>
                <c:pt idx="20">
                  <c:v>41000</c:v>
                </c:pt>
                <c:pt idx="21">
                  <c:v>41030</c:v>
                </c:pt>
                <c:pt idx="22">
                  <c:v>41061</c:v>
                </c:pt>
                <c:pt idx="23">
                  <c:v>41091</c:v>
                </c:pt>
                <c:pt idx="24">
                  <c:v>41122</c:v>
                </c:pt>
                <c:pt idx="25">
                  <c:v>41153</c:v>
                </c:pt>
                <c:pt idx="26">
                  <c:v>41183</c:v>
                </c:pt>
                <c:pt idx="27">
                  <c:v>41214</c:v>
                </c:pt>
                <c:pt idx="28">
                  <c:v>41244</c:v>
                </c:pt>
                <c:pt idx="29">
                  <c:v>41275</c:v>
                </c:pt>
                <c:pt idx="30">
                  <c:v>41306</c:v>
                </c:pt>
                <c:pt idx="31">
                  <c:v>41334</c:v>
                </c:pt>
                <c:pt idx="32">
                  <c:v>41365</c:v>
                </c:pt>
                <c:pt idx="33">
                  <c:v>41395</c:v>
                </c:pt>
                <c:pt idx="34">
                  <c:v>41426</c:v>
                </c:pt>
                <c:pt idx="35">
                  <c:v>41456</c:v>
                </c:pt>
                <c:pt idx="36">
                  <c:v>41487</c:v>
                </c:pt>
                <c:pt idx="37">
                  <c:v>41518</c:v>
                </c:pt>
                <c:pt idx="38">
                  <c:v>41548</c:v>
                </c:pt>
                <c:pt idx="39">
                  <c:v>41579</c:v>
                </c:pt>
                <c:pt idx="40">
                  <c:v>41609</c:v>
                </c:pt>
                <c:pt idx="41">
                  <c:v>41640</c:v>
                </c:pt>
                <c:pt idx="42">
                  <c:v>41671</c:v>
                </c:pt>
                <c:pt idx="43">
                  <c:v>41699</c:v>
                </c:pt>
                <c:pt idx="44">
                  <c:v>41730</c:v>
                </c:pt>
                <c:pt idx="45">
                  <c:v>41760</c:v>
                </c:pt>
                <c:pt idx="46">
                  <c:v>41791</c:v>
                </c:pt>
                <c:pt idx="47">
                  <c:v>41821</c:v>
                </c:pt>
                <c:pt idx="48">
                  <c:v>41852</c:v>
                </c:pt>
                <c:pt idx="49">
                  <c:v>41883</c:v>
                </c:pt>
                <c:pt idx="50">
                  <c:v>41913</c:v>
                </c:pt>
                <c:pt idx="51">
                  <c:v>41944</c:v>
                </c:pt>
                <c:pt idx="52">
                  <c:v>41974</c:v>
                </c:pt>
                <c:pt idx="53">
                  <c:v>42005</c:v>
                </c:pt>
                <c:pt idx="54">
                  <c:v>42036</c:v>
                </c:pt>
                <c:pt idx="55">
                  <c:v>42064</c:v>
                </c:pt>
                <c:pt idx="56">
                  <c:v>42095</c:v>
                </c:pt>
                <c:pt idx="57">
                  <c:v>42125</c:v>
                </c:pt>
                <c:pt idx="58">
                  <c:v>42156</c:v>
                </c:pt>
                <c:pt idx="59">
                  <c:v>42186</c:v>
                </c:pt>
                <c:pt idx="60">
                  <c:v>42217</c:v>
                </c:pt>
                <c:pt idx="61">
                  <c:v>42248</c:v>
                </c:pt>
                <c:pt idx="62">
                  <c:v>42278</c:v>
                </c:pt>
                <c:pt idx="63">
                  <c:v>42309</c:v>
                </c:pt>
                <c:pt idx="64">
                  <c:v>42339</c:v>
                </c:pt>
                <c:pt idx="65">
                  <c:v>42370</c:v>
                </c:pt>
                <c:pt idx="66">
                  <c:v>42401</c:v>
                </c:pt>
                <c:pt idx="67">
                  <c:v>42430</c:v>
                </c:pt>
                <c:pt idx="68">
                  <c:v>42461</c:v>
                </c:pt>
                <c:pt idx="69">
                  <c:v>42491</c:v>
                </c:pt>
                <c:pt idx="70">
                  <c:v>42522</c:v>
                </c:pt>
                <c:pt idx="71">
                  <c:v>42552</c:v>
                </c:pt>
                <c:pt idx="72">
                  <c:v>42583</c:v>
                </c:pt>
                <c:pt idx="73">
                  <c:v>42614</c:v>
                </c:pt>
                <c:pt idx="74">
                  <c:v>42644</c:v>
                </c:pt>
                <c:pt idx="75">
                  <c:v>42675</c:v>
                </c:pt>
                <c:pt idx="76">
                  <c:v>42705</c:v>
                </c:pt>
                <c:pt idx="77">
                  <c:v>42736</c:v>
                </c:pt>
                <c:pt idx="78">
                  <c:v>42767</c:v>
                </c:pt>
                <c:pt idx="79">
                  <c:v>42795</c:v>
                </c:pt>
                <c:pt idx="80">
                  <c:v>42826</c:v>
                </c:pt>
                <c:pt idx="81">
                  <c:v>42856</c:v>
                </c:pt>
                <c:pt idx="82">
                  <c:v>42887</c:v>
                </c:pt>
                <c:pt idx="83">
                  <c:v>42917</c:v>
                </c:pt>
                <c:pt idx="84">
                  <c:v>42948</c:v>
                </c:pt>
                <c:pt idx="85">
                  <c:v>42979</c:v>
                </c:pt>
                <c:pt idx="86">
                  <c:v>43009</c:v>
                </c:pt>
                <c:pt idx="87">
                  <c:v>43040</c:v>
                </c:pt>
                <c:pt idx="88">
                  <c:v>43070</c:v>
                </c:pt>
                <c:pt idx="89">
                  <c:v>43101</c:v>
                </c:pt>
                <c:pt idx="90">
                  <c:v>43132</c:v>
                </c:pt>
                <c:pt idx="91">
                  <c:v>43160</c:v>
                </c:pt>
                <c:pt idx="92">
                  <c:v>43191</c:v>
                </c:pt>
                <c:pt idx="93">
                  <c:v>43221</c:v>
                </c:pt>
                <c:pt idx="94">
                  <c:v>43252</c:v>
                </c:pt>
                <c:pt idx="95">
                  <c:v>43282</c:v>
                </c:pt>
                <c:pt idx="96">
                  <c:v>43313</c:v>
                </c:pt>
                <c:pt idx="97">
                  <c:v>43344</c:v>
                </c:pt>
                <c:pt idx="98">
                  <c:v>43374</c:v>
                </c:pt>
                <c:pt idx="99">
                  <c:v>43405</c:v>
                </c:pt>
                <c:pt idx="100">
                  <c:v>43435</c:v>
                </c:pt>
                <c:pt idx="101">
                  <c:v>43466</c:v>
                </c:pt>
                <c:pt idx="102">
                  <c:v>43497</c:v>
                </c:pt>
                <c:pt idx="103">
                  <c:v>43525</c:v>
                </c:pt>
                <c:pt idx="104">
                  <c:v>43556</c:v>
                </c:pt>
                <c:pt idx="105">
                  <c:v>43586</c:v>
                </c:pt>
                <c:pt idx="106">
                  <c:v>43617</c:v>
                </c:pt>
                <c:pt idx="107">
                  <c:v>43647</c:v>
                </c:pt>
                <c:pt idx="108">
                  <c:v>43678</c:v>
                </c:pt>
                <c:pt idx="109">
                  <c:v>43709</c:v>
                </c:pt>
                <c:pt idx="110">
                  <c:v>43739</c:v>
                </c:pt>
                <c:pt idx="111">
                  <c:v>43770</c:v>
                </c:pt>
                <c:pt idx="112">
                  <c:v>43800</c:v>
                </c:pt>
                <c:pt idx="113">
                  <c:v>43831</c:v>
                </c:pt>
                <c:pt idx="114">
                  <c:v>43862</c:v>
                </c:pt>
                <c:pt idx="115">
                  <c:v>43891</c:v>
                </c:pt>
                <c:pt idx="116">
                  <c:v>43922</c:v>
                </c:pt>
                <c:pt idx="117">
                  <c:v>43952</c:v>
                </c:pt>
                <c:pt idx="118">
                  <c:v>43983</c:v>
                </c:pt>
                <c:pt idx="119">
                  <c:v>44013</c:v>
                </c:pt>
              </c:numCache>
            </c:numRef>
          </c:cat>
          <c:val>
            <c:numRef>
              <c:f>Prices!$E$8:$E$127</c:f>
              <c:numCache>
                <c:formatCode>0.00</c:formatCode>
                <c:ptCount val="120"/>
                <c:pt idx="0">
                  <c:v>76.693181818181799</c:v>
                </c:pt>
                <c:pt idx="1">
                  <c:v>77.786818181818205</c:v>
                </c:pt>
                <c:pt idx="2">
                  <c:v>82.918095238095205</c:v>
                </c:pt>
                <c:pt idx="3">
                  <c:v>85.67</c:v>
                </c:pt>
                <c:pt idx="4">
                  <c:v>91.796521739130398</c:v>
                </c:pt>
                <c:pt idx="5">
                  <c:v>96.294285714285706</c:v>
                </c:pt>
                <c:pt idx="6">
                  <c:v>103.9555</c:v>
                </c:pt>
                <c:pt idx="7">
                  <c:v>114.44130434782601</c:v>
                </c:pt>
                <c:pt idx="8">
                  <c:v>123.07</c:v>
                </c:pt>
                <c:pt idx="9">
                  <c:v>114.458181818182</c:v>
                </c:pt>
                <c:pt idx="10">
                  <c:v>113.757727272727</c:v>
                </c:pt>
                <c:pt idx="11">
                  <c:v>116.46</c:v>
                </c:pt>
                <c:pt idx="12">
                  <c:v>110.08130434782601</c:v>
                </c:pt>
                <c:pt idx="13">
                  <c:v>110.879090909091</c:v>
                </c:pt>
                <c:pt idx="14">
                  <c:v>109.468571428571</c:v>
                </c:pt>
                <c:pt idx="15">
                  <c:v>110.504090909091</c:v>
                </c:pt>
                <c:pt idx="16">
                  <c:v>107.909047619048</c:v>
                </c:pt>
                <c:pt idx="17">
                  <c:v>111.15619047619001</c:v>
                </c:pt>
                <c:pt idx="18">
                  <c:v>119.70238095238101</c:v>
                </c:pt>
                <c:pt idx="19">
                  <c:v>124.928636363636</c:v>
                </c:pt>
                <c:pt idx="20">
                  <c:v>120.4635</c:v>
                </c:pt>
                <c:pt idx="21">
                  <c:v>110.52173913043499</c:v>
                </c:pt>
                <c:pt idx="22">
                  <c:v>95.589047619047605</c:v>
                </c:pt>
                <c:pt idx="23">
                  <c:v>103.14090909090901</c:v>
                </c:pt>
                <c:pt idx="24">
                  <c:v>113.34</c:v>
                </c:pt>
                <c:pt idx="25">
                  <c:v>113.38249999999999</c:v>
                </c:pt>
                <c:pt idx="26">
                  <c:v>111.97347826087</c:v>
                </c:pt>
                <c:pt idx="27">
                  <c:v>109.711818181818</c:v>
                </c:pt>
                <c:pt idx="28">
                  <c:v>109.6765</c:v>
                </c:pt>
                <c:pt idx="29">
                  <c:v>112.973636363636</c:v>
                </c:pt>
                <c:pt idx="30">
                  <c:v>116.51949999999999</c:v>
                </c:pt>
                <c:pt idx="31">
                  <c:v>109.24</c:v>
                </c:pt>
                <c:pt idx="32">
                  <c:v>102.875454545455</c:v>
                </c:pt>
                <c:pt idx="33">
                  <c:v>103.026956521739</c:v>
                </c:pt>
                <c:pt idx="34">
                  <c:v>103.11</c:v>
                </c:pt>
                <c:pt idx="35">
                  <c:v>107.71608695652201</c:v>
                </c:pt>
                <c:pt idx="36">
                  <c:v>110.964545454545</c:v>
                </c:pt>
                <c:pt idx="37">
                  <c:v>111.62142857142901</c:v>
                </c:pt>
                <c:pt idx="38">
                  <c:v>109.478695652174</c:v>
                </c:pt>
                <c:pt idx="39">
                  <c:v>108.07619047619001</c:v>
                </c:pt>
                <c:pt idx="40">
                  <c:v>110.67400000000001</c:v>
                </c:pt>
                <c:pt idx="41">
                  <c:v>107.42</c:v>
                </c:pt>
                <c:pt idx="42">
                  <c:v>108.81</c:v>
                </c:pt>
                <c:pt idx="43">
                  <c:v>107.4</c:v>
                </c:pt>
                <c:pt idx="44">
                  <c:v>107.79</c:v>
                </c:pt>
                <c:pt idx="45">
                  <c:v>109.68</c:v>
                </c:pt>
                <c:pt idx="46">
                  <c:v>111.87</c:v>
                </c:pt>
                <c:pt idx="47">
                  <c:v>106.98</c:v>
                </c:pt>
                <c:pt idx="48">
                  <c:v>101.92</c:v>
                </c:pt>
                <c:pt idx="49">
                  <c:v>97.34</c:v>
                </c:pt>
                <c:pt idx="50">
                  <c:v>87.27</c:v>
                </c:pt>
                <c:pt idx="51">
                  <c:v>78.44</c:v>
                </c:pt>
                <c:pt idx="52">
                  <c:v>62.33</c:v>
                </c:pt>
                <c:pt idx="53">
                  <c:v>48.07</c:v>
                </c:pt>
                <c:pt idx="54">
                  <c:v>57.93</c:v>
                </c:pt>
                <c:pt idx="55">
                  <c:v>55.79</c:v>
                </c:pt>
                <c:pt idx="56">
                  <c:v>59.39</c:v>
                </c:pt>
                <c:pt idx="57">
                  <c:v>64.56</c:v>
                </c:pt>
                <c:pt idx="58">
                  <c:v>62.34</c:v>
                </c:pt>
                <c:pt idx="59">
                  <c:v>55.87</c:v>
                </c:pt>
                <c:pt idx="60">
                  <c:v>46.99</c:v>
                </c:pt>
                <c:pt idx="61">
                  <c:v>47.24</c:v>
                </c:pt>
                <c:pt idx="62">
                  <c:v>48.12</c:v>
                </c:pt>
                <c:pt idx="63">
                  <c:v>44.42</c:v>
                </c:pt>
                <c:pt idx="64">
                  <c:v>37.72</c:v>
                </c:pt>
                <c:pt idx="65">
                  <c:v>30.8</c:v>
                </c:pt>
                <c:pt idx="66">
                  <c:v>33.200000000000003</c:v>
                </c:pt>
                <c:pt idx="67">
                  <c:v>39.07</c:v>
                </c:pt>
                <c:pt idx="68">
                  <c:v>42.25</c:v>
                </c:pt>
                <c:pt idx="69">
                  <c:v>47.13</c:v>
                </c:pt>
                <c:pt idx="70">
                  <c:v>48.48</c:v>
                </c:pt>
                <c:pt idx="71">
                  <c:v>45.07</c:v>
                </c:pt>
                <c:pt idx="72">
                  <c:v>46.14</c:v>
                </c:pt>
                <c:pt idx="73">
                  <c:v>46.19</c:v>
                </c:pt>
                <c:pt idx="74">
                  <c:v>49.73</c:v>
                </c:pt>
                <c:pt idx="75">
                  <c:v>46.44</c:v>
                </c:pt>
                <c:pt idx="76">
                  <c:v>54.07</c:v>
                </c:pt>
                <c:pt idx="77">
                  <c:v>54.89</c:v>
                </c:pt>
                <c:pt idx="78">
                  <c:v>55.49</c:v>
                </c:pt>
                <c:pt idx="79">
                  <c:v>51.97</c:v>
                </c:pt>
                <c:pt idx="80">
                  <c:v>52.98</c:v>
                </c:pt>
                <c:pt idx="81">
                  <c:v>50.87</c:v>
                </c:pt>
                <c:pt idx="82">
                  <c:v>46.89</c:v>
                </c:pt>
                <c:pt idx="83">
                  <c:v>48.69</c:v>
                </c:pt>
                <c:pt idx="84">
                  <c:v>51.37</c:v>
                </c:pt>
                <c:pt idx="85">
                  <c:v>55.16</c:v>
                </c:pt>
                <c:pt idx="86">
                  <c:v>57.62</c:v>
                </c:pt>
                <c:pt idx="87">
                  <c:v>62.57</c:v>
                </c:pt>
                <c:pt idx="88">
                  <c:v>64.209999999999994</c:v>
                </c:pt>
                <c:pt idx="89">
                  <c:v>68.989999999999995</c:v>
                </c:pt>
                <c:pt idx="90">
                  <c:v>65.42</c:v>
                </c:pt>
                <c:pt idx="91">
                  <c:v>66.45</c:v>
                </c:pt>
                <c:pt idx="92">
                  <c:v>71.63</c:v>
                </c:pt>
                <c:pt idx="93">
                  <c:v>76.650000000000006</c:v>
                </c:pt>
                <c:pt idx="94">
                  <c:v>75.19</c:v>
                </c:pt>
                <c:pt idx="95">
                  <c:v>74.44</c:v>
                </c:pt>
                <c:pt idx="96">
                  <c:v>73.13</c:v>
                </c:pt>
                <c:pt idx="97">
                  <c:v>78.86</c:v>
                </c:pt>
                <c:pt idx="98">
                  <c:v>80.47</c:v>
                </c:pt>
                <c:pt idx="99">
                  <c:v>65.17</c:v>
                </c:pt>
                <c:pt idx="100">
                  <c:v>56.46</c:v>
                </c:pt>
                <c:pt idx="101">
                  <c:v>59.27</c:v>
                </c:pt>
                <c:pt idx="102">
                  <c:v>64.13</c:v>
                </c:pt>
                <c:pt idx="103">
                  <c:v>66.41</c:v>
                </c:pt>
                <c:pt idx="104">
                  <c:v>71.2</c:v>
                </c:pt>
                <c:pt idx="105">
                  <c:v>70.53</c:v>
                </c:pt>
                <c:pt idx="106">
                  <c:v>63.3</c:v>
                </c:pt>
                <c:pt idx="107">
                  <c:v>64</c:v>
                </c:pt>
                <c:pt idx="108">
                  <c:v>59.25</c:v>
                </c:pt>
                <c:pt idx="109">
                  <c:v>62.33</c:v>
                </c:pt>
                <c:pt idx="110">
                  <c:v>59.37</c:v>
                </c:pt>
                <c:pt idx="111">
                  <c:v>62.74</c:v>
                </c:pt>
                <c:pt idx="112">
                  <c:v>65.849999999999994</c:v>
                </c:pt>
                <c:pt idx="113">
                  <c:v>63.6</c:v>
                </c:pt>
                <c:pt idx="114">
                  <c:v>55</c:v>
                </c:pt>
                <c:pt idx="115">
                  <c:v>32.979999999999997</c:v>
                </c:pt>
                <c:pt idx="116">
                  <c:v>23.34</c:v>
                </c:pt>
                <c:pt idx="117">
                  <c:v>31.02</c:v>
                </c:pt>
                <c:pt idx="118">
                  <c:v>39.93</c:v>
                </c:pt>
                <c:pt idx="119">
                  <c:v>42.81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529-4FBF-93BB-29D3F1A4B5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87050560"/>
        <c:axId val="687047608"/>
      </c:areaChart>
      <c:lineChart>
        <c:grouping val="standard"/>
        <c:varyColors val="0"/>
        <c:ser>
          <c:idx val="0"/>
          <c:order val="0"/>
          <c:tx>
            <c:strRef>
              <c:f>Prices!$B$7</c:f>
              <c:strCache>
                <c:ptCount val="1"/>
                <c:pt idx="0">
                  <c:v>LNG  - Japan</c:v>
                </c:pt>
              </c:strCache>
            </c:strRef>
          </c:tx>
          <c:spPr>
            <a:ln>
              <a:solidFill>
                <a:schemeClr val="accent2">
                  <a:lumMod val="75000"/>
                </a:schemeClr>
              </a:solidFill>
            </a:ln>
          </c:spPr>
          <c:marker>
            <c:symbol val="none"/>
          </c:marker>
          <c:cat>
            <c:numRef>
              <c:f>Prices!$A$8:$A$127</c:f>
              <c:numCache>
                <c:formatCode>mmm\-yy</c:formatCode>
                <c:ptCount val="120"/>
                <c:pt idx="0">
                  <c:v>40391</c:v>
                </c:pt>
                <c:pt idx="1">
                  <c:v>40422</c:v>
                </c:pt>
                <c:pt idx="2">
                  <c:v>40452</c:v>
                </c:pt>
                <c:pt idx="3">
                  <c:v>40483</c:v>
                </c:pt>
                <c:pt idx="4">
                  <c:v>40513</c:v>
                </c:pt>
                <c:pt idx="5">
                  <c:v>40544</c:v>
                </c:pt>
                <c:pt idx="6">
                  <c:v>40575</c:v>
                </c:pt>
                <c:pt idx="7">
                  <c:v>40603</c:v>
                </c:pt>
                <c:pt idx="8">
                  <c:v>40634</c:v>
                </c:pt>
                <c:pt idx="9">
                  <c:v>40664</c:v>
                </c:pt>
                <c:pt idx="10">
                  <c:v>40695</c:v>
                </c:pt>
                <c:pt idx="11">
                  <c:v>40725</c:v>
                </c:pt>
                <c:pt idx="12">
                  <c:v>40756</c:v>
                </c:pt>
                <c:pt idx="13">
                  <c:v>40787</c:v>
                </c:pt>
                <c:pt idx="14">
                  <c:v>40817</c:v>
                </c:pt>
                <c:pt idx="15">
                  <c:v>40848</c:v>
                </c:pt>
                <c:pt idx="16">
                  <c:v>40878</c:v>
                </c:pt>
                <c:pt idx="17">
                  <c:v>40909</c:v>
                </c:pt>
                <c:pt idx="18">
                  <c:v>40940</c:v>
                </c:pt>
                <c:pt idx="19">
                  <c:v>40969</c:v>
                </c:pt>
                <c:pt idx="20">
                  <c:v>41000</c:v>
                </c:pt>
                <c:pt idx="21">
                  <c:v>41030</c:v>
                </c:pt>
                <c:pt idx="22">
                  <c:v>41061</c:v>
                </c:pt>
                <c:pt idx="23">
                  <c:v>41091</c:v>
                </c:pt>
                <c:pt idx="24">
                  <c:v>41122</c:v>
                </c:pt>
                <c:pt idx="25">
                  <c:v>41153</c:v>
                </c:pt>
                <c:pt idx="26">
                  <c:v>41183</c:v>
                </c:pt>
                <c:pt idx="27">
                  <c:v>41214</c:v>
                </c:pt>
                <c:pt idx="28">
                  <c:v>41244</c:v>
                </c:pt>
                <c:pt idx="29">
                  <c:v>41275</c:v>
                </c:pt>
                <c:pt idx="30">
                  <c:v>41306</c:v>
                </c:pt>
                <c:pt idx="31">
                  <c:v>41334</c:v>
                </c:pt>
                <c:pt idx="32">
                  <c:v>41365</c:v>
                </c:pt>
                <c:pt idx="33">
                  <c:v>41395</c:v>
                </c:pt>
                <c:pt idx="34">
                  <c:v>41426</c:v>
                </c:pt>
                <c:pt idx="35">
                  <c:v>41456</c:v>
                </c:pt>
                <c:pt idx="36">
                  <c:v>41487</c:v>
                </c:pt>
                <c:pt idx="37">
                  <c:v>41518</c:v>
                </c:pt>
                <c:pt idx="38">
                  <c:v>41548</c:v>
                </c:pt>
                <c:pt idx="39">
                  <c:v>41579</c:v>
                </c:pt>
                <c:pt idx="40">
                  <c:v>41609</c:v>
                </c:pt>
                <c:pt idx="41">
                  <c:v>41640</c:v>
                </c:pt>
                <c:pt idx="42">
                  <c:v>41671</c:v>
                </c:pt>
                <c:pt idx="43">
                  <c:v>41699</c:v>
                </c:pt>
                <c:pt idx="44">
                  <c:v>41730</c:v>
                </c:pt>
                <c:pt idx="45">
                  <c:v>41760</c:v>
                </c:pt>
                <c:pt idx="46">
                  <c:v>41791</c:v>
                </c:pt>
                <c:pt idx="47">
                  <c:v>41821</c:v>
                </c:pt>
                <c:pt idx="48">
                  <c:v>41852</c:v>
                </c:pt>
                <c:pt idx="49">
                  <c:v>41883</c:v>
                </c:pt>
                <c:pt idx="50">
                  <c:v>41913</c:v>
                </c:pt>
                <c:pt idx="51">
                  <c:v>41944</c:v>
                </c:pt>
                <c:pt idx="52">
                  <c:v>41974</c:v>
                </c:pt>
                <c:pt idx="53">
                  <c:v>42005</c:v>
                </c:pt>
                <c:pt idx="54">
                  <c:v>42036</c:v>
                </c:pt>
                <c:pt idx="55">
                  <c:v>42064</c:v>
                </c:pt>
                <c:pt idx="56">
                  <c:v>42095</c:v>
                </c:pt>
                <c:pt idx="57">
                  <c:v>42125</c:v>
                </c:pt>
                <c:pt idx="58">
                  <c:v>42156</c:v>
                </c:pt>
                <c:pt idx="59">
                  <c:v>42186</c:v>
                </c:pt>
                <c:pt idx="60">
                  <c:v>42217</c:v>
                </c:pt>
                <c:pt idx="61">
                  <c:v>42248</c:v>
                </c:pt>
                <c:pt idx="62">
                  <c:v>42278</c:v>
                </c:pt>
                <c:pt idx="63">
                  <c:v>42309</c:v>
                </c:pt>
                <c:pt idx="64">
                  <c:v>42339</c:v>
                </c:pt>
                <c:pt idx="65">
                  <c:v>42370</c:v>
                </c:pt>
                <c:pt idx="66">
                  <c:v>42401</c:v>
                </c:pt>
                <c:pt idx="67">
                  <c:v>42430</c:v>
                </c:pt>
                <c:pt idx="68">
                  <c:v>42461</c:v>
                </c:pt>
                <c:pt idx="69">
                  <c:v>42491</c:v>
                </c:pt>
                <c:pt idx="70">
                  <c:v>42522</c:v>
                </c:pt>
                <c:pt idx="71">
                  <c:v>42552</c:v>
                </c:pt>
                <c:pt idx="72">
                  <c:v>42583</c:v>
                </c:pt>
                <c:pt idx="73">
                  <c:v>42614</c:v>
                </c:pt>
                <c:pt idx="74">
                  <c:v>42644</c:v>
                </c:pt>
                <c:pt idx="75">
                  <c:v>42675</c:v>
                </c:pt>
                <c:pt idx="76">
                  <c:v>42705</c:v>
                </c:pt>
                <c:pt idx="77">
                  <c:v>42736</c:v>
                </c:pt>
                <c:pt idx="78">
                  <c:v>42767</c:v>
                </c:pt>
                <c:pt idx="79">
                  <c:v>42795</c:v>
                </c:pt>
                <c:pt idx="80">
                  <c:v>42826</c:v>
                </c:pt>
                <c:pt idx="81">
                  <c:v>42856</c:v>
                </c:pt>
                <c:pt idx="82">
                  <c:v>42887</c:v>
                </c:pt>
                <c:pt idx="83">
                  <c:v>42917</c:v>
                </c:pt>
                <c:pt idx="84">
                  <c:v>42948</c:v>
                </c:pt>
                <c:pt idx="85">
                  <c:v>42979</c:v>
                </c:pt>
                <c:pt idx="86">
                  <c:v>43009</c:v>
                </c:pt>
                <c:pt idx="87">
                  <c:v>43040</c:v>
                </c:pt>
                <c:pt idx="88">
                  <c:v>43070</c:v>
                </c:pt>
                <c:pt idx="89">
                  <c:v>43101</c:v>
                </c:pt>
                <c:pt idx="90">
                  <c:v>43132</c:v>
                </c:pt>
                <c:pt idx="91">
                  <c:v>43160</c:v>
                </c:pt>
                <c:pt idx="92">
                  <c:v>43191</c:v>
                </c:pt>
                <c:pt idx="93">
                  <c:v>43221</c:v>
                </c:pt>
                <c:pt idx="94">
                  <c:v>43252</c:v>
                </c:pt>
                <c:pt idx="95">
                  <c:v>43282</c:v>
                </c:pt>
                <c:pt idx="96">
                  <c:v>43313</c:v>
                </c:pt>
                <c:pt idx="97">
                  <c:v>43344</c:v>
                </c:pt>
                <c:pt idx="98">
                  <c:v>43374</c:v>
                </c:pt>
                <c:pt idx="99">
                  <c:v>43405</c:v>
                </c:pt>
                <c:pt idx="100">
                  <c:v>43435</c:v>
                </c:pt>
                <c:pt idx="101">
                  <c:v>43466</c:v>
                </c:pt>
                <c:pt idx="102">
                  <c:v>43497</c:v>
                </c:pt>
                <c:pt idx="103">
                  <c:v>43525</c:v>
                </c:pt>
                <c:pt idx="104">
                  <c:v>43556</c:v>
                </c:pt>
                <c:pt idx="105">
                  <c:v>43586</c:v>
                </c:pt>
                <c:pt idx="106">
                  <c:v>43617</c:v>
                </c:pt>
                <c:pt idx="107">
                  <c:v>43647</c:v>
                </c:pt>
                <c:pt idx="108">
                  <c:v>43678</c:v>
                </c:pt>
                <c:pt idx="109">
                  <c:v>43709</c:v>
                </c:pt>
                <c:pt idx="110">
                  <c:v>43739</c:v>
                </c:pt>
                <c:pt idx="111">
                  <c:v>43770</c:v>
                </c:pt>
                <c:pt idx="112">
                  <c:v>43800</c:v>
                </c:pt>
                <c:pt idx="113">
                  <c:v>43831</c:v>
                </c:pt>
                <c:pt idx="114">
                  <c:v>43862</c:v>
                </c:pt>
                <c:pt idx="115">
                  <c:v>43891</c:v>
                </c:pt>
                <c:pt idx="116">
                  <c:v>43922</c:v>
                </c:pt>
                <c:pt idx="117">
                  <c:v>43952</c:v>
                </c:pt>
                <c:pt idx="118">
                  <c:v>43983</c:v>
                </c:pt>
                <c:pt idx="119">
                  <c:v>44013</c:v>
                </c:pt>
              </c:numCache>
            </c:numRef>
          </c:cat>
          <c:val>
            <c:numRef>
              <c:f>Prices!$B$8:$B$127</c:f>
              <c:numCache>
                <c:formatCode>0.00</c:formatCode>
                <c:ptCount val="120"/>
                <c:pt idx="0">
                  <c:v>11.3</c:v>
                </c:pt>
                <c:pt idx="1">
                  <c:v>11.03</c:v>
                </c:pt>
                <c:pt idx="2">
                  <c:v>11.13</c:v>
                </c:pt>
                <c:pt idx="3">
                  <c:v>10.84</c:v>
                </c:pt>
                <c:pt idx="4">
                  <c:v>10.75</c:v>
                </c:pt>
                <c:pt idx="5">
                  <c:v>11.45</c:v>
                </c:pt>
                <c:pt idx="6">
                  <c:v>12.02</c:v>
                </c:pt>
                <c:pt idx="7">
                  <c:v>12.5</c:v>
                </c:pt>
                <c:pt idx="8">
                  <c:v>12.99</c:v>
                </c:pt>
                <c:pt idx="9">
                  <c:v>13.61</c:v>
                </c:pt>
                <c:pt idx="10">
                  <c:v>14.52</c:v>
                </c:pt>
                <c:pt idx="11">
                  <c:v>16.22</c:v>
                </c:pt>
                <c:pt idx="12">
                  <c:v>16.55</c:v>
                </c:pt>
                <c:pt idx="13">
                  <c:v>16.27</c:v>
                </c:pt>
                <c:pt idx="14">
                  <c:v>16.48</c:v>
                </c:pt>
                <c:pt idx="15">
                  <c:v>16.78</c:v>
                </c:pt>
                <c:pt idx="16">
                  <c:v>16.48</c:v>
                </c:pt>
                <c:pt idx="17">
                  <c:v>16.71</c:v>
                </c:pt>
                <c:pt idx="18">
                  <c:v>16.03</c:v>
                </c:pt>
                <c:pt idx="19">
                  <c:v>16.34</c:v>
                </c:pt>
                <c:pt idx="20">
                  <c:v>16.850000000000001</c:v>
                </c:pt>
                <c:pt idx="21">
                  <c:v>17.12</c:v>
                </c:pt>
                <c:pt idx="22">
                  <c:v>17.2</c:v>
                </c:pt>
                <c:pt idx="23">
                  <c:v>18.11</c:v>
                </c:pt>
                <c:pt idx="24">
                  <c:v>17.739999999999998</c:v>
                </c:pt>
                <c:pt idx="25">
                  <c:v>16.829999999999998</c:v>
                </c:pt>
                <c:pt idx="26">
                  <c:v>15.3</c:v>
                </c:pt>
                <c:pt idx="27">
                  <c:v>15</c:v>
                </c:pt>
                <c:pt idx="28">
                  <c:v>15.41</c:v>
                </c:pt>
                <c:pt idx="29">
                  <c:v>15.89</c:v>
                </c:pt>
                <c:pt idx="30">
                  <c:v>16.47</c:v>
                </c:pt>
                <c:pt idx="31">
                  <c:v>16.27</c:v>
                </c:pt>
                <c:pt idx="32">
                  <c:v>16.2</c:v>
                </c:pt>
                <c:pt idx="33">
                  <c:v>16.22</c:v>
                </c:pt>
                <c:pt idx="34">
                  <c:v>16.61</c:v>
                </c:pt>
                <c:pt idx="35">
                  <c:v>16.170000000000002</c:v>
                </c:pt>
                <c:pt idx="36">
                  <c:v>15.6</c:v>
                </c:pt>
                <c:pt idx="37">
                  <c:v>14.96</c:v>
                </c:pt>
                <c:pt idx="38">
                  <c:v>15.3</c:v>
                </c:pt>
                <c:pt idx="39">
                  <c:v>15.4</c:v>
                </c:pt>
                <c:pt idx="40">
                  <c:v>16.38</c:v>
                </c:pt>
                <c:pt idx="41">
                  <c:v>16.670000000000002</c:v>
                </c:pt>
                <c:pt idx="42">
                  <c:v>16.760000000000002</c:v>
                </c:pt>
                <c:pt idx="43">
                  <c:v>16.55</c:v>
                </c:pt>
                <c:pt idx="44">
                  <c:v>16.79</c:v>
                </c:pt>
                <c:pt idx="45">
                  <c:v>16.32</c:v>
                </c:pt>
                <c:pt idx="46">
                  <c:v>16.13</c:v>
                </c:pt>
                <c:pt idx="47">
                  <c:v>15.2088266298726</c:v>
                </c:pt>
                <c:pt idx="48">
                  <c:v>15.74</c:v>
                </c:pt>
                <c:pt idx="49">
                  <c:v>15.16</c:v>
                </c:pt>
                <c:pt idx="50">
                  <c:v>15.89</c:v>
                </c:pt>
                <c:pt idx="51">
                  <c:v>15.59</c:v>
                </c:pt>
                <c:pt idx="52">
                  <c:v>15.62</c:v>
                </c:pt>
                <c:pt idx="53">
                  <c:v>16.1873379709448</c:v>
                </c:pt>
                <c:pt idx="54">
                  <c:v>14.2038341442813</c:v>
                </c:pt>
                <c:pt idx="55">
                  <c:v>13.041319324392299</c:v>
                </c:pt>
                <c:pt idx="56">
                  <c:v>10.936659480142501</c:v>
                </c:pt>
                <c:pt idx="57">
                  <c:v>9.3369001638732705</c:v>
                </c:pt>
                <c:pt idx="58">
                  <c:v>9.1891221165615509</c:v>
                </c:pt>
                <c:pt idx="59">
                  <c:v>9.4950832584463605</c:v>
                </c:pt>
                <c:pt idx="60">
                  <c:v>9.8158396579566602</c:v>
                </c:pt>
                <c:pt idx="61">
                  <c:v>10.3069439491419</c:v>
                </c:pt>
                <c:pt idx="62">
                  <c:v>10.1074268104243</c:v>
                </c:pt>
                <c:pt idx="63">
                  <c:v>9.5155859138506909</c:v>
                </c:pt>
                <c:pt idx="64">
                  <c:v>9.0801962921105801</c:v>
                </c:pt>
                <c:pt idx="65">
                  <c:v>8.4023022052664302</c:v>
                </c:pt>
                <c:pt idx="66">
                  <c:v>8.5618581322840992</c:v>
                </c:pt>
                <c:pt idx="67">
                  <c:v>7.7366980955135602</c:v>
                </c:pt>
                <c:pt idx="68">
                  <c:v>6.8249795642478102</c:v>
                </c:pt>
                <c:pt idx="69">
                  <c:v>6.2688925069180303</c:v>
                </c:pt>
                <c:pt idx="70">
                  <c:v>6.40180116949261</c:v>
                </c:pt>
                <c:pt idx="71">
                  <c:v>6.7571186470491504</c:v>
                </c:pt>
                <c:pt idx="72">
                  <c:v>7.1386747240458002</c:v>
                </c:pt>
                <c:pt idx="73">
                  <c:v>7.5397929008136098</c:v>
                </c:pt>
                <c:pt idx="74">
                  <c:v>7.6528666460143997</c:v>
                </c:pt>
                <c:pt idx="75">
                  <c:v>7.5925887519639099</c:v>
                </c:pt>
                <c:pt idx="76">
                  <c:v>7.5917541522859997</c:v>
                </c:pt>
                <c:pt idx="77">
                  <c:v>8.0422768605084407</c:v>
                </c:pt>
                <c:pt idx="78">
                  <c:v>8.4149873154565409</c:v>
                </c:pt>
                <c:pt idx="79">
                  <c:v>8.2459830610746305</c:v>
                </c:pt>
                <c:pt idx="80">
                  <c:v>8.7631187546892608</c:v>
                </c:pt>
                <c:pt idx="81">
                  <c:v>9.0968085204940206</c:v>
                </c:pt>
                <c:pt idx="82">
                  <c:v>8.8827097047013694</c:v>
                </c:pt>
                <c:pt idx="83">
                  <c:v>8.8584823273363593</c:v>
                </c:pt>
                <c:pt idx="84">
                  <c:v>8.91541540716414</c:v>
                </c:pt>
                <c:pt idx="85">
                  <c:v>8.6420299979354898</c:v>
                </c:pt>
                <c:pt idx="86">
                  <c:v>8.3138988925984094</c:v>
                </c:pt>
                <c:pt idx="87">
                  <c:v>8.45066567640872</c:v>
                </c:pt>
                <c:pt idx="88">
                  <c:v>8.6471138152961196</c:v>
                </c:pt>
                <c:pt idx="89">
                  <c:v>9.3424638758477698</c:v>
                </c:pt>
                <c:pt idx="90">
                  <c:v>9.8256931101917306</c:v>
                </c:pt>
                <c:pt idx="91">
                  <c:v>10.1100690910522</c:v>
                </c:pt>
                <c:pt idx="92">
                  <c:v>10.090469748222899</c:v>
                </c:pt>
                <c:pt idx="93">
                  <c:v>10.251516962042601</c:v>
                </c:pt>
                <c:pt idx="94">
                  <c:v>10.442987629789499</c:v>
                </c:pt>
                <c:pt idx="95">
                  <c:v>10.4407969031304</c:v>
                </c:pt>
                <c:pt idx="96">
                  <c:v>10.875000000070299</c:v>
                </c:pt>
                <c:pt idx="97">
                  <c:v>11.30331690113</c:v>
                </c:pt>
                <c:pt idx="98">
                  <c:v>11.6605802342067</c:v>
                </c:pt>
                <c:pt idx="99">
                  <c:v>11.700294621620101</c:v>
                </c:pt>
                <c:pt idx="100">
                  <c:v>11.995320796106499</c:v>
                </c:pt>
                <c:pt idx="101">
                  <c:v>12.007292617261299</c:v>
                </c:pt>
                <c:pt idx="102">
                  <c:v>11.806581648334101</c:v>
                </c:pt>
                <c:pt idx="103">
                  <c:v>11.294186607399499</c:v>
                </c:pt>
                <c:pt idx="104">
                  <c:v>10.2654610698676</c:v>
                </c:pt>
                <c:pt idx="105">
                  <c:v>10.145488494268699</c:v>
                </c:pt>
                <c:pt idx="106">
                  <c:v>10.042377876915801</c:v>
                </c:pt>
                <c:pt idx="107">
                  <c:v>10.127811224272801</c:v>
                </c:pt>
                <c:pt idx="108">
                  <c:v>10.860998638240099</c:v>
                </c:pt>
                <c:pt idx="109">
                  <c:v>10.141700406325899</c:v>
                </c:pt>
                <c:pt idx="110">
                  <c:v>9.9835240858408305</c:v>
                </c:pt>
                <c:pt idx="111">
                  <c:v>10.039503307911501</c:v>
                </c:pt>
                <c:pt idx="112">
                  <c:v>10.056696811439901</c:v>
                </c:pt>
                <c:pt idx="113">
                  <c:v>9.8869500632718506</c:v>
                </c:pt>
                <c:pt idx="114">
                  <c:v>9.8944305055268096</c:v>
                </c:pt>
                <c:pt idx="115">
                  <c:v>10.212991997125</c:v>
                </c:pt>
                <c:pt idx="116">
                  <c:v>10.009881261957601</c:v>
                </c:pt>
                <c:pt idx="117">
                  <c:v>10.075527030661499</c:v>
                </c:pt>
                <c:pt idx="118">
                  <c:v>8.9708190918651507</c:v>
                </c:pt>
                <c:pt idx="119">
                  <c:v>7.7877439160511202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A529-4FBF-93BB-29D3F1A4B505}"/>
            </c:ext>
          </c:extLst>
        </c:ser>
        <c:ser>
          <c:idx val="1"/>
          <c:order val="1"/>
          <c:tx>
            <c:strRef>
              <c:f>Prices!$C$7</c:f>
              <c:strCache>
                <c:ptCount val="1"/>
                <c:pt idx="0">
                  <c:v>Henry Hub gas - USA</c:v>
                </c:pt>
              </c:strCache>
            </c:strRef>
          </c:tx>
          <c:spPr>
            <a:ln>
              <a:solidFill>
                <a:schemeClr val="accent2"/>
              </a:solidFill>
            </a:ln>
          </c:spPr>
          <c:marker>
            <c:symbol val="none"/>
          </c:marker>
          <c:cat>
            <c:numRef>
              <c:f>Prices!$A$8:$A$127</c:f>
              <c:numCache>
                <c:formatCode>mmm\-yy</c:formatCode>
                <c:ptCount val="120"/>
                <c:pt idx="0">
                  <c:v>40391</c:v>
                </c:pt>
                <c:pt idx="1">
                  <c:v>40422</c:v>
                </c:pt>
                <c:pt idx="2">
                  <c:v>40452</c:v>
                </c:pt>
                <c:pt idx="3">
                  <c:v>40483</c:v>
                </c:pt>
                <c:pt idx="4">
                  <c:v>40513</c:v>
                </c:pt>
                <c:pt idx="5">
                  <c:v>40544</c:v>
                </c:pt>
                <c:pt idx="6">
                  <c:v>40575</c:v>
                </c:pt>
                <c:pt idx="7">
                  <c:v>40603</c:v>
                </c:pt>
                <c:pt idx="8">
                  <c:v>40634</c:v>
                </c:pt>
                <c:pt idx="9">
                  <c:v>40664</c:v>
                </c:pt>
                <c:pt idx="10">
                  <c:v>40695</c:v>
                </c:pt>
                <c:pt idx="11">
                  <c:v>40725</c:v>
                </c:pt>
                <c:pt idx="12">
                  <c:v>40756</c:v>
                </c:pt>
                <c:pt idx="13">
                  <c:v>40787</c:v>
                </c:pt>
                <c:pt idx="14">
                  <c:v>40817</c:v>
                </c:pt>
                <c:pt idx="15">
                  <c:v>40848</c:v>
                </c:pt>
                <c:pt idx="16">
                  <c:v>40878</c:v>
                </c:pt>
                <c:pt idx="17">
                  <c:v>40909</c:v>
                </c:pt>
                <c:pt idx="18">
                  <c:v>40940</c:v>
                </c:pt>
                <c:pt idx="19">
                  <c:v>40969</c:v>
                </c:pt>
                <c:pt idx="20">
                  <c:v>41000</c:v>
                </c:pt>
                <c:pt idx="21">
                  <c:v>41030</c:v>
                </c:pt>
                <c:pt idx="22">
                  <c:v>41061</c:v>
                </c:pt>
                <c:pt idx="23">
                  <c:v>41091</c:v>
                </c:pt>
                <c:pt idx="24">
                  <c:v>41122</c:v>
                </c:pt>
                <c:pt idx="25">
                  <c:v>41153</c:v>
                </c:pt>
                <c:pt idx="26">
                  <c:v>41183</c:v>
                </c:pt>
                <c:pt idx="27">
                  <c:v>41214</c:v>
                </c:pt>
                <c:pt idx="28">
                  <c:v>41244</c:v>
                </c:pt>
                <c:pt idx="29">
                  <c:v>41275</c:v>
                </c:pt>
                <c:pt idx="30">
                  <c:v>41306</c:v>
                </c:pt>
                <c:pt idx="31">
                  <c:v>41334</c:v>
                </c:pt>
                <c:pt idx="32">
                  <c:v>41365</c:v>
                </c:pt>
                <c:pt idx="33">
                  <c:v>41395</c:v>
                </c:pt>
                <c:pt idx="34">
                  <c:v>41426</c:v>
                </c:pt>
                <c:pt idx="35">
                  <c:v>41456</c:v>
                </c:pt>
                <c:pt idx="36">
                  <c:v>41487</c:v>
                </c:pt>
                <c:pt idx="37">
                  <c:v>41518</c:v>
                </c:pt>
                <c:pt idx="38">
                  <c:v>41548</c:v>
                </c:pt>
                <c:pt idx="39">
                  <c:v>41579</c:v>
                </c:pt>
                <c:pt idx="40">
                  <c:v>41609</c:v>
                </c:pt>
                <c:pt idx="41">
                  <c:v>41640</c:v>
                </c:pt>
                <c:pt idx="42">
                  <c:v>41671</c:v>
                </c:pt>
                <c:pt idx="43">
                  <c:v>41699</c:v>
                </c:pt>
                <c:pt idx="44">
                  <c:v>41730</c:v>
                </c:pt>
                <c:pt idx="45">
                  <c:v>41760</c:v>
                </c:pt>
                <c:pt idx="46">
                  <c:v>41791</c:v>
                </c:pt>
                <c:pt idx="47">
                  <c:v>41821</c:v>
                </c:pt>
                <c:pt idx="48">
                  <c:v>41852</c:v>
                </c:pt>
                <c:pt idx="49">
                  <c:v>41883</c:v>
                </c:pt>
                <c:pt idx="50">
                  <c:v>41913</c:v>
                </c:pt>
                <c:pt idx="51">
                  <c:v>41944</c:v>
                </c:pt>
                <c:pt idx="52">
                  <c:v>41974</c:v>
                </c:pt>
                <c:pt idx="53">
                  <c:v>42005</c:v>
                </c:pt>
                <c:pt idx="54">
                  <c:v>42036</c:v>
                </c:pt>
                <c:pt idx="55">
                  <c:v>42064</c:v>
                </c:pt>
                <c:pt idx="56">
                  <c:v>42095</c:v>
                </c:pt>
                <c:pt idx="57">
                  <c:v>42125</c:v>
                </c:pt>
                <c:pt idx="58">
                  <c:v>42156</c:v>
                </c:pt>
                <c:pt idx="59">
                  <c:v>42186</c:v>
                </c:pt>
                <c:pt idx="60">
                  <c:v>42217</c:v>
                </c:pt>
                <c:pt idx="61">
                  <c:v>42248</c:v>
                </c:pt>
                <c:pt idx="62">
                  <c:v>42278</c:v>
                </c:pt>
                <c:pt idx="63">
                  <c:v>42309</c:v>
                </c:pt>
                <c:pt idx="64">
                  <c:v>42339</c:v>
                </c:pt>
                <c:pt idx="65">
                  <c:v>42370</c:v>
                </c:pt>
                <c:pt idx="66">
                  <c:v>42401</c:v>
                </c:pt>
                <c:pt idx="67">
                  <c:v>42430</c:v>
                </c:pt>
                <c:pt idx="68">
                  <c:v>42461</c:v>
                </c:pt>
                <c:pt idx="69">
                  <c:v>42491</c:v>
                </c:pt>
                <c:pt idx="70">
                  <c:v>42522</c:v>
                </c:pt>
                <c:pt idx="71">
                  <c:v>42552</c:v>
                </c:pt>
                <c:pt idx="72">
                  <c:v>42583</c:v>
                </c:pt>
                <c:pt idx="73">
                  <c:v>42614</c:v>
                </c:pt>
                <c:pt idx="74">
                  <c:v>42644</c:v>
                </c:pt>
                <c:pt idx="75">
                  <c:v>42675</c:v>
                </c:pt>
                <c:pt idx="76">
                  <c:v>42705</c:v>
                </c:pt>
                <c:pt idx="77">
                  <c:v>42736</c:v>
                </c:pt>
                <c:pt idx="78">
                  <c:v>42767</c:v>
                </c:pt>
                <c:pt idx="79">
                  <c:v>42795</c:v>
                </c:pt>
                <c:pt idx="80">
                  <c:v>42826</c:v>
                </c:pt>
                <c:pt idx="81">
                  <c:v>42856</c:v>
                </c:pt>
                <c:pt idx="82">
                  <c:v>42887</c:v>
                </c:pt>
                <c:pt idx="83">
                  <c:v>42917</c:v>
                </c:pt>
                <c:pt idx="84">
                  <c:v>42948</c:v>
                </c:pt>
                <c:pt idx="85">
                  <c:v>42979</c:v>
                </c:pt>
                <c:pt idx="86">
                  <c:v>43009</c:v>
                </c:pt>
                <c:pt idx="87">
                  <c:v>43040</c:v>
                </c:pt>
                <c:pt idx="88">
                  <c:v>43070</c:v>
                </c:pt>
                <c:pt idx="89">
                  <c:v>43101</c:v>
                </c:pt>
                <c:pt idx="90">
                  <c:v>43132</c:v>
                </c:pt>
                <c:pt idx="91">
                  <c:v>43160</c:v>
                </c:pt>
                <c:pt idx="92">
                  <c:v>43191</c:v>
                </c:pt>
                <c:pt idx="93">
                  <c:v>43221</c:v>
                </c:pt>
                <c:pt idx="94">
                  <c:v>43252</c:v>
                </c:pt>
                <c:pt idx="95">
                  <c:v>43282</c:v>
                </c:pt>
                <c:pt idx="96">
                  <c:v>43313</c:v>
                </c:pt>
                <c:pt idx="97">
                  <c:v>43344</c:v>
                </c:pt>
                <c:pt idx="98">
                  <c:v>43374</c:v>
                </c:pt>
                <c:pt idx="99">
                  <c:v>43405</c:v>
                </c:pt>
                <c:pt idx="100">
                  <c:v>43435</c:v>
                </c:pt>
                <c:pt idx="101">
                  <c:v>43466</c:v>
                </c:pt>
                <c:pt idx="102">
                  <c:v>43497</c:v>
                </c:pt>
                <c:pt idx="103">
                  <c:v>43525</c:v>
                </c:pt>
                <c:pt idx="104">
                  <c:v>43556</c:v>
                </c:pt>
                <c:pt idx="105">
                  <c:v>43586</c:v>
                </c:pt>
                <c:pt idx="106">
                  <c:v>43617</c:v>
                </c:pt>
                <c:pt idx="107">
                  <c:v>43647</c:v>
                </c:pt>
                <c:pt idx="108">
                  <c:v>43678</c:v>
                </c:pt>
                <c:pt idx="109">
                  <c:v>43709</c:v>
                </c:pt>
                <c:pt idx="110">
                  <c:v>43739</c:v>
                </c:pt>
                <c:pt idx="111">
                  <c:v>43770</c:v>
                </c:pt>
                <c:pt idx="112">
                  <c:v>43800</c:v>
                </c:pt>
                <c:pt idx="113">
                  <c:v>43831</c:v>
                </c:pt>
                <c:pt idx="114">
                  <c:v>43862</c:v>
                </c:pt>
                <c:pt idx="115">
                  <c:v>43891</c:v>
                </c:pt>
                <c:pt idx="116">
                  <c:v>43922</c:v>
                </c:pt>
                <c:pt idx="117">
                  <c:v>43952</c:v>
                </c:pt>
                <c:pt idx="118">
                  <c:v>43983</c:v>
                </c:pt>
                <c:pt idx="119">
                  <c:v>44013</c:v>
                </c:pt>
              </c:numCache>
            </c:numRef>
          </c:cat>
          <c:val>
            <c:numRef>
              <c:f>Prices!$C$8:$C$127</c:f>
              <c:numCache>
                <c:formatCode>0.00</c:formatCode>
                <c:ptCount val="120"/>
                <c:pt idx="0">
                  <c:v>4.3049999999999997</c:v>
                </c:pt>
                <c:pt idx="1">
                  <c:v>3.9039000000000001</c:v>
                </c:pt>
                <c:pt idx="2">
                  <c:v>3.4315000000000002</c:v>
                </c:pt>
                <c:pt idx="3">
                  <c:v>3.7272500000000002</c:v>
                </c:pt>
                <c:pt idx="4">
                  <c:v>4.2370952380952396</c:v>
                </c:pt>
                <c:pt idx="5">
                  <c:v>4.4934000000000003</c:v>
                </c:pt>
                <c:pt idx="6">
                  <c:v>4.0749000000000004</c:v>
                </c:pt>
                <c:pt idx="7">
                  <c:v>3.9712999999999998</c:v>
                </c:pt>
                <c:pt idx="8">
                  <c:v>4.2423999999999999</c:v>
                </c:pt>
                <c:pt idx="9">
                  <c:v>4.3089545454545499</c:v>
                </c:pt>
                <c:pt idx="10">
                  <c:v>4.5490000000000004</c:v>
                </c:pt>
                <c:pt idx="11">
                  <c:v>4.4131</c:v>
                </c:pt>
                <c:pt idx="12">
                  <c:v>4.0538999999999996</c:v>
                </c:pt>
                <c:pt idx="13">
                  <c:v>3.9013</c:v>
                </c:pt>
                <c:pt idx="14">
                  <c:v>3.5680000000000001</c:v>
                </c:pt>
                <c:pt idx="15">
                  <c:v>3.2424499999999998</c:v>
                </c:pt>
                <c:pt idx="16">
                  <c:v>3.1642380952381002</c:v>
                </c:pt>
                <c:pt idx="17">
                  <c:v>2.6797</c:v>
                </c:pt>
                <c:pt idx="18">
                  <c:v>2.5192000000000001</c:v>
                </c:pt>
                <c:pt idx="19">
                  <c:v>2.1661000000000001</c:v>
                </c:pt>
                <c:pt idx="20">
                  <c:v>1.9467000000000001</c:v>
                </c:pt>
                <c:pt idx="21">
                  <c:v>2.4373999999999998</c:v>
                </c:pt>
                <c:pt idx="22">
                  <c:v>2.4552</c:v>
                </c:pt>
                <c:pt idx="23">
                  <c:v>2.9455</c:v>
                </c:pt>
                <c:pt idx="24">
                  <c:v>2.8382999999999998</c:v>
                </c:pt>
                <c:pt idx="25">
                  <c:v>2.8414999999999999</c:v>
                </c:pt>
                <c:pt idx="26">
                  <c:v>3.3174000000000001</c:v>
                </c:pt>
                <c:pt idx="27">
                  <c:v>3.5379999999999998</c:v>
                </c:pt>
                <c:pt idx="28">
                  <c:v>3.3395000000000001</c:v>
                </c:pt>
                <c:pt idx="29">
                  <c:v>3.3279999999999998</c:v>
                </c:pt>
                <c:pt idx="30">
                  <c:v>3.3292000000000002</c:v>
                </c:pt>
                <c:pt idx="31">
                  <c:v>3.8069000000000002</c:v>
                </c:pt>
                <c:pt idx="32">
                  <c:v>4.1669</c:v>
                </c:pt>
                <c:pt idx="33">
                  <c:v>4.0403000000000002</c:v>
                </c:pt>
                <c:pt idx="34">
                  <c:v>3.8254000000000001</c:v>
                </c:pt>
                <c:pt idx="35">
                  <c:v>3.6227</c:v>
                </c:pt>
                <c:pt idx="36">
                  <c:v>3.4251</c:v>
                </c:pt>
                <c:pt idx="37">
                  <c:v>3.6154000000000002</c:v>
                </c:pt>
                <c:pt idx="38">
                  <c:v>3.6739000000000002</c:v>
                </c:pt>
                <c:pt idx="39">
                  <c:v>3.6173999999999999</c:v>
                </c:pt>
                <c:pt idx="40">
                  <c:v>4.2366000000000001</c:v>
                </c:pt>
                <c:pt idx="41">
                  <c:v>4.7008000000000001</c:v>
                </c:pt>
                <c:pt idx="42">
                  <c:v>5.9733000000000001</c:v>
                </c:pt>
                <c:pt idx="43">
                  <c:v>4.8783000000000003</c:v>
                </c:pt>
                <c:pt idx="44">
                  <c:v>4.6338999999999997</c:v>
                </c:pt>
                <c:pt idx="45">
                  <c:v>4.5625</c:v>
                </c:pt>
                <c:pt idx="46">
                  <c:v>4.5692000000000004</c:v>
                </c:pt>
                <c:pt idx="47">
                  <c:v>4.0099</c:v>
                </c:pt>
                <c:pt idx="48">
                  <c:v>3.8839999999999999</c:v>
                </c:pt>
                <c:pt idx="49">
                  <c:v>3.9169999999999998</c:v>
                </c:pt>
                <c:pt idx="50">
                  <c:v>3.7719</c:v>
                </c:pt>
                <c:pt idx="51">
                  <c:v>4.1002999999999998</c:v>
                </c:pt>
                <c:pt idx="52">
                  <c:v>3.4327999999999999</c:v>
                </c:pt>
                <c:pt idx="53">
                  <c:v>2.9742999999999999</c:v>
                </c:pt>
                <c:pt idx="54">
                  <c:v>2.8477999999999999</c:v>
                </c:pt>
                <c:pt idx="55">
                  <c:v>2.8006000000000002</c:v>
                </c:pt>
                <c:pt idx="56">
                  <c:v>2.5796999999999999</c:v>
                </c:pt>
                <c:pt idx="57">
                  <c:v>2.8382999999999998</c:v>
                </c:pt>
                <c:pt idx="58">
                  <c:v>2.7692000000000001</c:v>
                </c:pt>
                <c:pt idx="59">
                  <c:v>2.83</c:v>
                </c:pt>
                <c:pt idx="60">
                  <c:v>2.7629999999999999</c:v>
                </c:pt>
                <c:pt idx="61">
                  <c:v>2.6461000000000001</c:v>
                </c:pt>
                <c:pt idx="62">
                  <c:v>2.3151999999999999</c:v>
                </c:pt>
                <c:pt idx="63">
                  <c:v>2.0775000000000001</c:v>
                </c:pt>
                <c:pt idx="64">
                  <c:v>1.9228000000000001</c:v>
                </c:pt>
                <c:pt idx="65">
                  <c:v>2.2744</c:v>
                </c:pt>
                <c:pt idx="66">
                  <c:v>1.9572000000000001</c:v>
                </c:pt>
                <c:pt idx="67">
                  <c:v>1.7017</c:v>
                </c:pt>
                <c:pt idx="68">
                  <c:v>1.9047000000000001</c:v>
                </c:pt>
                <c:pt idx="69">
                  <c:v>1.9219999999999999</c:v>
                </c:pt>
                <c:pt idx="70">
                  <c:v>2.5666000000000002</c:v>
                </c:pt>
                <c:pt idx="71">
                  <c:v>2.7879</c:v>
                </c:pt>
                <c:pt idx="72">
                  <c:v>2.7913000000000001</c:v>
                </c:pt>
                <c:pt idx="73">
                  <c:v>2.9689000000000001</c:v>
                </c:pt>
                <c:pt idx="74">
                  <c:v>2.9491999999999998</c:v>
                </c:pt>
                <c:pt idx="75">
                  <c:v>2.5009000000000001</c:v>
                </c:pt>
                <c:pt idx="76">
                  <c:v>3.5817999999999999</c:v>
                </c:pt>
                <c:pt idx="77">
                  <c:v>3.2608000000000001</c:v>
                </c:pt>
                <c:pt idx="78">
                  <c:v>2.8233000000000001</c:v>
                </c:pt>
                <c:pt idx="79">
                  <c:v>2.8875000000000002</c:v>
                </c:pt>
                <c:pt idx="80">
                  <c:v>3.0819999999999999</c:v>
                </c:pt>
                <c:pt idx="81">
                  <c:v>3.1248</c:v>
                </c:pt>
                <c:pt idx="82">
                  <c:v>2.9409999999999998</c:v>
                </c:pt>
                <c:pt idx="83">
                  <c:v>2.9613999999999998</c:v>
                </c:pt>
                <c:pt idx="84">
                  <c:v>2.8757000000000001</c:v>
                </c:pt>
                <c:pt idx="85">
                  <c:v>2.9630000000000001</c:v>
                </c:pt>
                <c:pt idx="86">
                  <c:v>2.8633000000000002</c:v>
                </c:pt>
                <c:pt idx="87">
                  <c:v>3.09</c:v>
                </c:pt>
                <c:pt idx="88">
                  <c:v>2.7583000000000002</c:v>
                </c:pt>
                <c:pt idx="89">
                  <c:v>3.5434999999999999</c:v>
                </c:pt>
                <c:pt idx="90">
                  <c:v>2.6720999999999999</c:v>
                </c:pt>
                <c:pt idx="91">
                  <c:v>2.7</c:v>
                </c:pt>
                <c:pt idx="92">
                  <c:v>2.7970000000000002</c:v>
                </c:pt>
                <c:pt idx="93">
                  <c:v>2.8073000000000001</c:v>
                </c:pt>
                <c:pt idx="94">
                  <c:v>2.9674</c:v>
                </c:pt>
                <c:pt idx="95">
                  <c:v>2.8279000000000001</c:v>
                </c:pt>
                <c:pt idx="96">
                  <c:v>2.9676999999999998</c:v>
                </c:pt>
                <c:pt idx="97">
                  <c:v>2.9767000000000001</c:v>
                </c:pt>
                <c:pt idx="98">
                  <c:v>3.2883</c:v>
                </c:pt>
                <c:pt idx="99">
                  <c:v>4.1158000000000001</c:v>
                </c:pt>
                <c:pt idx="100">
                  <c:v>4.0743999999999998</c:v>
                </c:pt>
                <c:pt idx="101">
                  <c:v>3.0794999999999999</c:v>
                </c:pt>
                <c:pt idx="102">
                  <c:v>2.7161</c:v>
                </c:pt>
                <c:pt idx="103">
                  <c:v>2.9371999999999998</c:v>
                </c:pt>
                <c:pt idx="104">
                  <c:v>2.6524999999999999</c:v>
                </c:pt>
                <c:pt idx="105">
                  <c:v>2.6322000000000001</c:v>
                </c:pt>
                <c:pt idx="106">
                  <c:v>2.3965000000000001</c:v>
                </c:pt>
                <c:pt idx="107">
                  <c:v>2.3647</c:v>
                </c:pt>
                <c:pt idx="108">
                  <c:v>2.2262</c:v>
                </c:pt>
                <c:pt idx="109">
                  <c:v>2.58</c:v>
                </c:pt>
                <c:pt idx="110">
                  <c:v>2.3313000000000001</c:v>
                </c:pt>
                <c:pt idx="111">
                  <c:v>2.6505000000000001</c:v>
                </c:pt>
                <c:pt idx="112">
                  <c:v>2.2425000000000002</c:v>
                </c:pt>
                <c:pt idx="113">
                  <c:v>2.0305</c:v>
                </c:pt>
                <c:pt idx="114">
                  <c:v>1.9157999999999999</c:v>
                </c:pt>
                <c:pt idx="115">
                  <c:v>1.7927</c:v>
                </c:pt>
                <c:pt idx="116">
                  <c:v>1.7385999999999999</c:v>
                </c:pt>
                <c:pt idx="117">
                  <c:v>1.7524999999999999</c:v>
                </c:pt>
                <c:pt idx="118">
                  <c:v>1.6005</c:v>
                </c:pt>
                <c:pt idx="119">
                  <c:v>1.7226999999999999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A529-4FBF-93BB-29D3F1A4B505}"/>
            </c:ext>
          </c:extLst>
        </c:ser>
        <c:ser>
          <c:idx val="3"/>
          <c:order val="2"/>
          <c:tx>
            <c:strRef>
              <c:f>Prices!$D$7</c:f>
              <c:strCache>
                <c:ptCount val="1"/>
                <c:pt idx="0">
                  <c:v>Pipeline gas - Europe</c:v>
                </c:pt>
              </c:strCache>
            </c:strRef>
          </c:tx>
          <c:spPr>
            <a:ln>
              <a:solidFill>
                <a:srgbClr val="E2AFAE"/>
              </a:solidFill>
            </a:ln>
          </c:spPr>
          <c:marker>
            <c:symbol val="none"/>
          </c:marker>
          <c:cat>
            <c:numRef>
              <c:f>Prices!$A$8:$A$127</c:f>
              <c:numCache>
                <c:formatCode>mmm\-yy</c:formatCode>
                <c:ptCount val="120"/>
                <c:pt idx="0">
                  <c:v>40391</c:v>
                </c:pt>
                <c:pt idx="1">
                  <c:v>40422</c:v>
                </c:pt>
                <c:pt idx="2">
                  <c:v>40452</c:v>
                </c:pt>
                <c:pt idx="3">
                  <c:v>40483</c:v>
                </c:pt>
                <c:pt idx="4">
                  <c:v>40513</c:v>
                </c:pt>
                <c:pt idx="5">
                  <c:v>40544</c:v>
                </c:pt>
                <c:pt idx="6">
                  <c:v>40575</c:v>
                </c:pt>
                <c:pt idx="7">
                  <c:v>40603</c:v>
                </c:pt>
                <c:pt idx="8">
                  <c:v>40634</c:v>
                </c:pt>
                <c:pt idx="9">
                  <c:v>40664</c:v>
                </c:pt>
                <c:pt idx="10">
                  <c:v>40695</c:v>
                </c:pt>
                <c:pt idx="11">
                  <c:v>40725</c:v>
                </c:pt>
                <c:pt idx="12">
                  <c:v>40756</c:v>
                </c:pt>
                <c:pt idx="13">
                  <c:v>40787</c:v>
                </c:pt>
                <c:pt idx="14">
                  <c:v>40817</c:v>
                </c:pt>
                <c:pt idx="15">
                  <c:v>40848</c:v>
                </c:pt>
                <c:pt idx="16">
                  <c:v>40878</c:v>
                </c:pt>
                <c:pt idx="17">
                  <c:v>40909</c:v>
                </c:pt>
                <c:pt idx="18">
                  <c:v>40940</c:v>
                </c:pt>
                <c:pt idx="19">
                  <c:v>40969</c:v>
                </c:pt>
                <c:pt idx="20">
                  <c:v>41000</c:v>
                </c:pt>
                <c:pt idx="21">
                  <c:v>41030</c:v>
                </c:pt>
                <c:pt idx="22">
                  <c:v>41061</c:v>
                </c:pt>
                <c:pt idx="23">
                  <c:v>41091</c:v>
                </c:pt>
                <c:pt idx="24">
                  <c:v>41122</c:v>
                </c:pt>
                <c:pt idx="25">
                  <c:v>41153</c:v>
                </c:pt>
                <c:pt idx="26">
                  <c:v>41183</c:v>
                </c:pt>
                <c:pt idx="27">
                  <c:v>41214</c:v>
                </c:pt>
                <c:pt idx="28">
                  <c:v>41244</c:v>
                </c:pt>
                <c:pt idx="29">
                  <c:v>41275</c:v>
                </c:pt>
                <c:pt idx="30">
                  <c:v>41306</c:v>
                </c:pt>
                <c:pt idx="31">
                  <c:v>41334</c:v>
                </c:pt>
                <c:pt idx="32">
                  <c:v>41365</c:v>
                </c:pt>
                <c:pt idx="33">
                  <c:v>41395</c:v>
                </c:pt>
                <c:pt idx="34">
                  <c:v>41426</c:v>
                </c:pt>
                <c:pt idx="35">
                  <c:v>41456</c:v>
                </c:pt>
                <c:pt idx="36">
                  <c:v>41487</c:v>
                </c:pt>
                <c:pt idx="37">
                  <c:v>41518</c:v>
                </c:pt>
                <c:pt idx="38">
                  <c:v>41548</c:v>
                </c:pt>
                <c:pt idx="39">
                  <c:v>41579</c:v>
                </c:pt>
                <c:pt idx="40">
                  <c:v>41609</c:v>
                </c:pt>
                <c:pt idx="41">
                  <c:v>41640</c:v>
                </c:pt>
                <c:pt idx="42">
                  <c:v>41671</c:v>
                </c:pt>
                <c:pt idx="43">
                  <c:v>41699</c:v>
                </c:pt>
                <c:pt idx="44">
                  <c:v>41730</c:v>
                </c:pt>
                <c:pt idx="45">
                  <c:v>41760</c:v>
                </c:pt>
                <c:pt idx="46">
                  <c:v>41791</c:v>
                </c:pt>
                <c:pt idx="47">
                  <c:v>41821</c:v>
                </c:pt>
                <c:pt idx="48">
                  <c:v>41852</c:v>
                </c:pt>
                <c:pt idx="49">
                  <c:v>41883</c:v>
                </c:pt>
                <c:pt idx="50">
                  <c:v>41913</c:v>
                </c:pt>
                <c:pt idx="51">
                  <c:v>41944</c:v>
                </c:pt>
                <c:pt idx="52">
                  <c:v>41974</c:v>
                </c:pt>
                <c:pt idx="53">
                  <c:v>42005</c:v>
                </c:pt>
                <c:pt idx="54">
                  <c:v>42036</c:v>
                </c:pt>
                <c:pt idx="55">
                  <c:v>42064</c:v>
                </c:pt>
                <c:pt idx="56">
                  <c:v>42095</c:v>
                </c:pt>
                <c:pt idx="57">
                  <c:v>42125</c:v>
                </c:pt>
                <c:pt idx="58">
                  <c:v>42156</c:v>
                </c:pt>
                <c:pt idx="59">
                  <c:v>42186</c:v>
                </c:pt>
                <c:pt idx="60">
                  <c:v>42217</c:v>
                </c:pt>
                <c:pt idx="61">
                  <c:v>42248</c:v>
                </c:pt>
                <c:pt idx="62">
                  <c:v>42278</c:v>
                </c:pt>
                <c:pt idx="63">
                  <c:v>42309</c:v>
                </c:pt>
                <c:pt idx="64">
                  <c:v>42339</c:v>
                </c:pt>
                <c:pt idx="65">
                  <c:v>42370</c:v>
                </c:pt>
                <c:pt idx="66">
                  <c:v>42401</c:v>
                </c:pt>
                <c:pt idx="67">
                  <c:v>42430</c:v>
                </c:pt>
                <c:pt idx="68">
                  <c:v>42461</c:v>
                </c:pt>
                <c:pt idx="69">
                  <c:v>42491</c:v>
                </c:pt>
                <c:pt idx="70">
                  <c:v>42522</c:v>
                </c:pt>
                <c:pt idx="71">
                  <c:v>42552</c:v>
                </c:pt>
                <c:pt idx="72">
                  <c:v>42583</c:v>
                </c:pt>
                <c:pt idx="73">
                  <c:v>42614</c:v>
                </c:pt>
                <c:pt idx="74">
                  <c:v>42644</c:v>
                </c:pt>
                <c:pt idx="75">
                  <c:v>42675</c:v>
                </c:pt>
                <c:pt idx="76">
                  <c:v>42705</c:v>
                </c:pt>
                <c:pt idx="77">
                  <c:v>42736</c:v>
                </c:pt>
                <c:pt idx="78">
                  <c:v>42767</c:v>
                </c:pt>
                <c:pt idx="79">
                  <c:v>42795</c:v>
                </c:pt>
                <c:pt idx="80">
                  <c:v>42826</c:v>
                </c:pt>
                <c:pt idx="81">
                  <c:v>42856</c:v>
                </c:pt>
                <c:pt idx="82">
                  <c:v>42887</c:v>
                </c:pt>
                <c:pt idx="83">
                  <c:v>42917</c:v>
                </c:pt>
                <c:pt idx="84">
                  <c:v>42948</c:v>
                </c:pt>
                <c:pt idx="85">
                  <c:v>42979</c:v>
                </c:pt>
                <c:pt idx="86">
                  <c:v>43009</c:v>
                </c:pt>
                <c:pt idx="87">
                  <c:v>43040</c:v>
                </c:pt>
                <c:pt idx="88">
                  <c:v>43070</c:v>
                </c:pt>
                <c:pt idx="89">
                  <c:v>43101</c:v>
                </c:pt>
                <c:pt idx="90">
                  <c:v>43132</c:v>
                </c:pt>
                <c:pt idx="91">
                  <c:v>43160</c:v>
                </c:pt>
                <c:pt idx="92">
                  <c:v>43191</c:v>
                </c:pt>
                <c:pt idx="93">
                  <c:v>43221</c:v>
                </c:pt>
                <c:pt idx="94">
                  <c:v>43252</c:v>
                </c:pt>
                <c:pt idx="95">
                  <c:v>43282</c:v>
                </c:pt>
                <c:pt idx="96">
                  <c:v>43313</c:v>
                </c:pt>
                <c:pt idx="97">
                  <c:v>43344</c:v>
                </c:pt>
                <c:pt idx="98">
                  <c:v>43374</c:v>
                </c:pt>
                <c:pt idx="99">
                  <c:v>43405</c:v>
                </c:pt>
                <c:pt idx="100">
                  <c:v>43435</c:v>
                </c:pt>
                <c:pt idx="101">
                  <c:v>43466</c:v>
                </c:pt>
                <c:pt idx="102">
                  <c:v>43497</c:v>
                </c:pt>
                <c:pt idx="103">
                  <c:v>43525</c:v>
                </c:pt>
                <c:pt idx="104">
                  <c:v>43556</c:v>
                </c:pt>
                <c:pt idx="105">
                  <c:v>43586</c:v>
                </c:pt>
                <c:pt idx="106">
                  <c:v>43617</c:v>
                </c:pt>
                <c:pt idx="107">
                  <c:v>43647</c:v>
                </c:pt>
                <c:pt idx="108">
                  <c:v>43678</c:v>
                </c:pt>
                <c:pt idx="109">
                  <c:v>43709</c:v>
                </c:pt>
                <c:pt idx="110">
                  <c:v>43739</c:v>
                </c:pt>
                <c:pt idx="111">
                  <c:v>43770</c:v>
                </c:pt>
                <c:pt idx="112">
                  <c:v>43800</c:v>
                </c:pt>
                <c:pt idx="113">
                  <c:v>43831</c:v>
                </c:pt>
                <c:pt idx="114">
                  <c:v>43862</c:v>
                </c:pt>
                <c:pt idx="115">
                  <c:v>43891</c:v>
                </c:pt>
                <c:pt idx="116">
                  <c:v>43922</c:v>
                </c:pt>
                <c:pt idx="117">
                  <c:v>43952</c:v>
                </c:pt>
                <c:pt idx="118">
                  <c:v>43983</c:v>
                </c:pt>
                <c:pt idx="119">
                  <c:v>44013</c:v>
                </c:pt>
              </c:numCache>
            </c:numRef>
          </c:cat>
          <c:val>
            <c:numRef>
              <c:f>Prices!$D$8:$D$127</c:f>
              <c:numCache>
                <c:formatCode>0.00</c:formatCode>
                <c:ptCount val="120"/>
                <c:pt idx="0">
                  <c:v>8.4499999999999993</c:v>
                </c:pt>
                <c:pt idx="1">
                  <c:v>8.2799999999999994</c:v>
                </c:pt>
                <c:pt idx="2">
                  <c:v>8.2899999999999991</c:v>
                </c:pt>
                <c:pt idx="3">
                  <c:v>8.59</c:v>
                </c:pt>
                <c:pt idx="4">
                  <c:v>8.74</c:v>
                </c:pt>
                <c:pt idx="5">
                  <c:v>9.61</c:v>
                </c:pt>
                <c:pt idx="6">
                  <c:v>9.36</c:v>
                </c:pt>
                <c:pt idx="7">
                  <c:v>9.3699999999999992</c:v>
                </c:pt>
                <c:pt idx="8">
                  <c:v>10.36</c:v>
                </c:pt>
                <c:pt idx="9">
                  <c:v>10.3</c:v>
                </c:pt>
                <c:pt idx="10">
                  <c:v>10.26</c:v>
                </c:pt>
                <c:pt idx="11">
                  <c:v>10.99</c:v>
                </c:pt>
                <c:pt idx="12">
                  <c:v>10.81</c:v>
                </c:pt>
                <c:pt idx="13">
                  <c:v>10.85</c:v>
                </c:pt>
                <c:pt idx="14">
                  <c:v>11.42</c:v>
                </c:pt>
                <c:pt idx="15">
                  <c:v>11.32</c:v>
                </c:pt>
                <c:pt idx="16">
                  <c:v>11.53</c:v>
                </c:pt>
                <c:pt idx="17">
                  <c:v>11.45</c:v>
                </c:pt>
                <c:pt idx="18">
                  <c:v>11.12</c:v>
                </c:pt>
                <c:pt idx="19">
                  <c:v>11.97</c:v>
                </c:pt>
                <c:pt idx="20">
                  <c:v>11.42</c:v>
                </c:pt>
                <c:pt idx="21">
                  <c:v>11.64</c:v>
                </c:pt>
                <c:pt idx="22">
                  <c:v>11.49</c:v>
                </c:pt>
                <c:pt idx="23">
                  <c:v>11.13</c:v>
                </c:pt>
                <c:pt idx="24">
                  <c:v>11.18</c:v>
                </c:pt>
                <c:pt idx="25">
                  <c:v>11.08</c:v>
                </c:pt>
                <c:pt idx="26">
                  <c:v>11.58</c:v>
                </c:pt>
                <c:pt idx="27">
                  <c:v>11.83</c:v>
                </c:pt>
                <c:pt idx="28">
                  <c:v>11.79</c:v>
                </c:pt>
                <c:pt idx="29">
                  <c:v>11.87</c:v>
                </c:pt>
                <c:pt idx="30">
                  <c:v>11.77</c:v>
                </c:pt>
                <c:pt idx="31">
                  <c:v>11.87</c:v>
                </c:pt>
                <c:pt idx="32">
                  <c:v>12.88</c:v>
                </c:pt>
                <c:pt idx="33">
                  <c:v>12.29</c:v>
                </c:pt>
                <c:pt idx="34">
                  <c:v>11.92</c:v>
                </c:pt>
                <c:pt idx="35">
                  <c:v>11.6</c:v>
                </c:pt>
                <c:pt idx="36">
                  <c:v>11.64</c:v>
                </c:pt>
                <c:pt idx="37">
                  <c:v>11.25</c:v>
                </c:pt>
                <c:pt idx="38">
                  <c:v>11.37</c:v>
                </c:pt>
                <c:pt idx="39">
                  <c:v>11.42</c:v>
                </c:pt>
                <c:pt idx="40">
                  <c:v>11.55</c:v>
                </c:pt>
                <c:pt idx="41">
                  <c:v>11.59</c:v>
                </c:pt>
                <c:pt idx="42">
                  <c:v>11.3</c:v>
                </c:pt>
                <c:pt idx="43">
                  <c:v>10.88</c:v>
                </c:pt>
                <c:pt idx="44">
                  <c:v>10.73</c:v>
                </c:pt>
                <c:pt idx="45">
                  <c:v>10.199999999999999</c:v>
                </c:pt>
                <c:pt idx="46">
                  <c:v>9.77</c:v>
                </c:pt>
                <c:pt idx="47">
                  <c:v>9.27</c:v>
                </c:pt>
                <c:pt idx="48">
                  <c:v>9.14</c:v>
                </c:pt>
                <c:pt idx="49">
                  <c:v>9.24</c:v>
                </c:pt>
                <c:pt idx="50">
                  <c:v>9.77</c:v>
                </c:pt>
                <c:pt idx="51">
                  <c:v>8.9</c:v>
                </c:pt>
                <c:pt idx="52">
                  <c:v>9.83</c:v>
                </c:pt>
                <c:pt idx="53">
                  <c:v>9.25</c:v>
                </c:pt>
                <c:pt idx="54">
                  <c:v>8.27</c:v>
                </c:pt>
                <c:pt idx="55">
                  <c:v>8.27</c:v>
                </c:pt>
                <c:pt idx="56">
                  <c:v>6.7744456667458604</c:v>
                </c:pt>
                <c:pt idx="57">
                  <c:v>6.6839973110811401</c:v>
                </c:pt>
                <c:pt idx="58">
                  <c:v>6.6667259295446701</c:v>
                </c:pt>
                <c:pt idx="59">
                  <c:v>6.69403713465372</c:v>
                </c:pt>
                <c:pt idx="60">
                  <c:v>6.34573758327927</c:v>
                </c:pt>
                <c:pt idx="61">
                  <c:v>6.2786986603378203</c:v>
                </c:pt>
                <c:pt idx="62">
                  <c:v>6.0269578205987697</c:v>
                </c:pt>
                <c:pt idx="63">
                  <c:v>5.5008338512307002</c:v>
                </c:pt>
                <c:pt idx="64">
                  <c:v>5.0927629826203002</c:v>
                </c:pt>
                <c:pt idx="65">
                  <c:v>4.3981862754054104</c:v>
                </c:pt>
                <c:pt idx="66">
                  <c:v>3.96837858928349</c:v>
                </c:pt>
                <c:pt idx="67">
                  <c:v>3.9101802430954402</c:v>
                </c:pt>
                <c:pt idx="68">
                  <c:v>3.9700750897874602</c:v>
                </c:pt>
                <c:pt idx="69">
                  <c:v>4.3291918650552699</c:v>
                </c:pt>
                <c:pt idx="70">
                  <c:v>4.7557204668942301</c:v>
                </c:pt>
                <c:pt idx="71">
                  <c:v>4.6747376913471799</c:v>
                </c:pt>
                <c:pt idx="72">
                  <c:v>4.0474899302047804</c:v>
                </c:pt>
                <c:pt idx="73">
                  <c:v>4.2536141699485004</c:v>
                </c:pt>
                <c:pt idx="74">
                  <c:v>5.3368188834499097</c:v>
                </c:pt>
                <c:pt idx="75">
                  <c:v>5.6931795011452904</c:v>
                </c:pt>
                <c:pt idx="76">
                  <c:v>5.42350142239831</c:v>
                </c:pt>
                <c:pt idx="77">
                  <c:v>6.1443492548012903</c:v>
                </c:pt>
                <c:pt idx="78">
                  <c:v>6.05158364479884</c:v>
                </c:pt>
                <c:pt idx="79">
                  <c:v>5.0009450765375103</c:v>
                </c:pt>
                <c:pt idx="80">
                  <c:v>5.0109139182969002</c:v>
                </c:pt>
                <c:pt idx="81">
                  <c:v>5.0584359784692401</c:v>
                </c:pt>
                <c:pt idx="82">
                  <c:v>4.8867667856271604</c:v>
                </c:pt>
                <c:pt idx="83">
                  <c:v>5.0039208322628301</c:v>
                </c:pt>
                <c:pt idx="84">
                  <c:v>5.4766011818712803</c:v>
                </c:pt>
                <c:pt idx="85">
                  <c:v>5.9611499719947298</c:v>
                </c:pt>
                <c:pt idx="86">
                  <c:v>6.1763203485404699</c:v>
                </c:pt>
                <c:pt idx="87">
                  <c:v>6.6945990398165902</c:v>
                </c:pt>
                <c:pt idx="88">
                  <c:v>7.1389336141311297</c:v>
                </c:pt>
                <c:pt idx="89">
                  <c:v>6.6622550131405998</c:v>
                </c:pt>
                <c:pt idx="90">
                  <c:v>6.7187497665047804</c:v>
                </c:pt>
                <c:pt idx="91">
                  <c:v>6.6973876403564896</c:v>
                </c:pt>
                <c:pt idx="92">
                  <c:v>6.9278582024206399</c:v>
                </c:pt>
                <c:pt idx="93">
                  <c:v>7.4873540573220403</c:v>
                </c:pt>
                <c:pt idx="94">
                  <c:v>7.4489428440440104</c:v>
                </c:pt>
                <c:pt idx="95">
                  <c:v>7.5988392302471599</c:v>
                </c:pt>
                <c:pt idx="96">
                  <c:v>8.08490993843807</c:v>
                </c:pt>
                <c:pt idx="97">
                  <c:v>9.5215770312076007</c:v>
                </c:pt>
                <c:pt idx="98">
                  <c:v>8.7909607297359198</c:v>
                </c:pt>
                <c:pt idx="99">
                  <c:v>8.2650790129144696</c:v>
                </c:pt>
                <c:pt idx="100">
                  <c:v>7.9762423800887996</c:v>
                </c:pt>
                <c:pt idx="101">
                  <c:v>7.2623432334527598</c:v>
                </c:pt>
                <c:pt idx="102">
                  <c:v>6.0057971221970101</c:v>
                </c:pt>
                <c:pt idx="103">
                  <c:v>5.1787356741296202</c:v>
                </c:pt>
                <c:pt idx="104">
                  <c:v>4.9221808196846304</c:v>
                </c:pt>
                <c:pt idx="105">
                  <c:v>4.3410552940549598</c:v>
                </c:pt>
                <c:pt idx="106">
                  <c:v>3.58800651227246</c:v>
                </c:pt>
                <c:pt idx="107">
                  <c:v>3.6203714056086498</c:v>
                </c:pt>
                <c:pt idx="108">
                  <c:v>3.6767751604055401</c:v>
                </c:pt>
                <c:pt idx="109">
                  <c:v>4.2052556849418403</c:v>
                </c:pt>
                <c:pt idx="110">
                  <c:v>5.0572178578731304</c:v>
                </c:pt>
                <c:pt idx="111">
                  <c:v>5.1500042173073499</c:v>
                </c:pt>
                <c:pt idx="112">
                  <c:v>4.62047221238545</c:v>
                </c:pt>
                <c:pt idx="113">
                  <c:v>3.6333843472669201</c:v>
                </c:pt>
                <c:pt idx="114">
                  <c:v>2.9077736410597601</c:v>
                </c:pt>
                <c:pt idx="115">
                  <c:v>2.71886838174516</c:v>
                </c:pt>
                <c:pt idx="116">
                  <c:v>2.1203186673230299</c:v>
                </c:pt>
                <c:pt idx="117">
                  <c:v>1.57516497791872</c:v>
                </c:pt>
                <c:pt idx="118">
                  <c:v>1.7521711121772801</c:v>
                </c:pt>
                <c:pt idx="119">
                  <c:v>1.8010354964652799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A529-4FBF-93BB-29D3F1A4B5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39293824"/>
        <c:axId val="139295360"/>
      </c:lineChart>
      <c:dateAx>
        <c:axId val="139293824"/>
        <c:scaling>
          <c:orientation val="minMax"/>
          <c:max val="44044"/>
          <c:min val="40391"/>
        </c:scaling>
        <c:delete val="0"/>
        <c:axPos val="b"/>
        <c:numFmt formatCode="mmm\-yy" sourceLinked="1"/>
        <c:majorTickMark val="in"/>
        <c:minorTickMark val="in"/>
        <c:tickLblPos val="nextTo"/>
        <c:spPr>
          <a:ln/>
        </c:spPr>
        <c:crossAx val="139295360"/>
        <c:crosses val="autoZero"/>
        <c:auto val="1"/>
        <c:lblOffset val="100"/>
        <c:baseTimeUnit val="days"/>
        <c:majorUnit val="60"/>
        <c:majorTimeUnit val="months"/>
        <c:minorUnit val="1"/>
        <c:minorTimeUnit val="years"/>
      </c:dateAx>
      <c:valAx>
        <c:axId val="139295360"/>
        <c:scaling>
          <c:orientation val="minMax"/>
          <c:max val="20"/>
        </c:scaling>
        <c:delete val="0"/>
        <c:axPos val="l"/>
        <c:majorGridlines/>
        <c:numFmt formatCode="&quot;US&quot;&quot;$&quot;0&quot;/mmBtu&quot;" sourceLinked="0"/>
        <c:majorTickMark val="in"/>
        <c:minorTickMark val="none"/>
        <c:tickLblPos val="nextTo"/>
        <c:spPr>
          <a:ln/>
        </c:spPr>
        <c:crossAx val="139293824"/>
        <c:crosses val="autoZero"/>
        <c:crossBetween val="between"/>
        <c:majorUnit val="5"/>
      </c:valAx>
      <c:valAx>
        <c:axId val="687047608"/>
        <c:scaling>
          <c:orientation val="minMax"/>
          <c:max val="160"/>
        </c:scaling>
        <c:delete val="0"/>
        <c:axPos val="r"/>
        <c:numFmt formatCode="&quot;US&quot;&quot;$&quot;0&quot;/bbl&quot;" sourceLinked="0"/>
        <c:majorTickMark val="in"/>
        <c:minorTickMark val="none"/>
        <c:tickLblPos val="nextTo"/>
        <c:spPr>
          <a:ln/>
        </c:spPr>
        <c:crossAx val="687050560"/>
        <c:crosses val="max"/>
        <c:crossBetween val="between"/>
        <c:majorUnit val="40"/>
      </c:valAx>
      <c:dateAx>
        <c:axId val="687050560"/>
        <c:scaling>
          <c:orientation val="minMax"/>
        </c:scaling>
        <c:delete val="1"/>
        <c:axPos val="b"/>
        <c:numFmt formatCode="mmm\-yy" sourceLinked="1"/>
        <c:majorTickMark val="out"/>
        <c:minorTickMark val="none"/>
        <c:tickLblPos val="nextTo"/>
        <c:crossAx val="687047608"/>
        <c:crosses val="autoZero"/>
        <c:auto val="1"/>
        <c:lblOffset val="100"/>
        <c:baseTimeUnit val="months"/>
        <c:majorUnit val="1"/>
        <c:minorUnit val="1"/>
      </c:dateAx>
    </c:plotArea>
    <c:legend>
      <c:legendPos val="b"/>
      <c:layout>
        <c:manualLayout>
          <c:xMode val="edge"/>
          <c:yMode val="edge"/>
          <c:x val="7.8953512511881711E-3"/>
          <c:y val="0.84676925925925928"/>
          <c:w val="0.97372538728279545"/>
          <c:h val="0.15323074074074072"/>
        </c:manualLayout>
      </c:layout>
      <c:overlay val="0"/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800"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9.8938580246913585E-2"/>
          <c:y val="4.0466666666666665E-2"/>
          <c:w val="0.81046122931442066"/>
          <c:h val="0.7917587962962963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'WA LNG sales (FY)'!$D$8</c:f>
              <c:strCache>
                <c:ptCount val="1"/>
                <c:pt idx="0">
                  <c:v>LNG volume (RHS)</c:v>
                </c:pt>
              </c:strCache>
            </c:strRef>
          </c:tx>
          <c:spPr>
            <a:solidFill>
              <a:schemeClr val="accent2"/>
            </a:solidFill>
          </c:spPr>
          <c:invertIfNegative val="0"/>
          <c:cat>
            <c:strRef>
              <c:f>'WA LNG sales (FY)'!$A$14:$A$34</c:f>
              <c:strCache>
                <c:ptCount val="21"/>
                <c:pt idx="0">
                  <c:v>1999-00</c:v>
                </c:pt>
                <c:pt idx="1">
                  <c:v>2000-01</c:v>
                </c:pt>
                <c:pt idx="2">
                  <c:v>2001-02</c:v>
                </c:pt>
                <c:pt idx="3">
                  <c:v>2002-03</c:v>
                </c:pt>
                <c:pt idx="4">
                  <c:v>2003-04</c:v>
                </c:pt>
                <c:pt idx="5">
                  <c:v>2004-05</c:v>
                </c:pt>
                <c:pt idx="6">
                  <c:v>2005-06</c:v>
                </c:pt>
                <c:pt idx="7">
                  <c:v>2006-07</c:v>
                </c:pt>
                <c:pt idx="8">
                  <c:v>2007-08</c:v>
                </c:pt>
                <c:pt idx="9">
                  <c:v>2008-09</c:v>
                </c:pt>
                <c:pt idx="10">
                  <c:v>2009-10</c:v>
                </c:pt>
                <c:pt idx="11">
                  <c:v>2010-11</c:v>
                </c:pt>
                <c:pt idx="12">
                  <c:v>2011-12</c:v>
                </c:pt>
                <c:pt idx="13">
                  <c:v>2012-13</c:v>
                </c:pt>
                <c:pt idx="14">
                  <c:v>2013-14</c:v>
                </c:pt>
                <c:pt idx="15">
                  <c:v>2014-15</c:v>
                </c:pt>
                <c:pt idx="16">
                  <c:v>2015-16</c:v>
                </c:pt>
                <c:pt idx="17">
                  <c:v>2016-17</c:v>
                </c:pt>
                <c:pt idx="18">
                  <c:v>2017-18</c:v>
                </c:pt>
                <c:pt idx="19">
                  <c:v>2018-19</c:v>
                </c:pt>
                <c:pt idx="20">
                  <c:v>2019-20</c:v>
                </c:pt>
              </c:strCache>
            </c:strRef>
          </c:cat>
          <c:val>
            <c:numRef>
              <c:f>'WA LNG sales (FY)'!$D$14:$D$34</c:f>
              <c:numCache>
                <c:formatCode>0.0</c:formatCode>
                <c:ptCount val="21"/>
                <c:pt idx="0">
                  <c:v>7.9908625304647813</c:v>
                </c:pt>
                <c:pt idx="1">
                  <c:v>7.5878356769510846</c:v>
                </c:pt>
                <c:pt idx="2">
                  <c:v>8.0625895456086862</c:v>
                </c:pt>
                <c:pt idx="3">
                  <c:v>8.198185704879748</c:v>
                </c:pt>
                <c:pt idx="4">
                  <c:v>8.2207645200752921</c:v>
                </c:pt>
                <c:pt idx="5">
                  <c:v>10.929023235157391</c:v>
                </c:pt>
                <c:pt idx="6">
                  <c:v>11.679836</c:v>
                </c:pt>
                <c:pt idx="7">
                  <c:v>12.211050999999999</c:v>
                </c:pt>
                <c:pt idx="8">
                  <c:v>12.148059999999999</c:v>
                </c:pt>
                <c:pt idx="9">
                  <c:v>13.943724</c:v>
                </c:pt>
                <c:pt idx="10">
                  <c:v>15.717041</c:v>
                </c:pt>
                <c:pt idx="11">
                  <c:v>17.290205198225209</c:v>
                </c:pt>
                <c:pt idx="12">
                  <c:v>15.610569721008769</c:v>
                </c:pt>
                <c:pt idx="13">
                  <c:v>19.804919000000002</c:v>
                </c:pt>
                <c:pt idx="14">
                  <c:v>19.826065</c:v>
                </c:pt>
                <c:pt idx="15">
                  <c:v>20.447845000000001</c:v>
                </c:pt>
                <c:pt idx="16">
                  <c:v>20.955641</c:v>
                </c:pt>
                <c:pt idx="17">
                  <c:v>28.685476682250002</c:v>
                </c:pt>
                <c:pt idx="18">
                  <c:v>37.893516660594464</c:v>
                </c:pt>
                <c:pt idx="19">
                  <c:v>43.635291099991925</c:v>
                </c:pt>
                <c:pt idx="20">
                  <c:v>47.113044842457363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956-4181-9B3E-85B9528AD7B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0"/>
        <c:axId val="134679168"/>
        <c:axId val="134677632"/>
      </c:barChart>
      <c:lineChart>
        <c:grouping val="standard"/>
        <c:varyColors val="0"/>
        <c:ser>
          <c:idx val="1"/>
          <c:order val="1"/>
          <c:tx>
            <c:strRef>
              <c:f>'WA LNG sales (FY)'!$B$8</c:f>
              <c:strCache>
                <c:ptCount val="1"/>
                <c:pt idx="0">
                  <c:v>LNG value</c:v>
                </c:pt>
              </c:strCache>
            </c:strRef>
          </c:tx>
          <c:spPr>
            <a:ln w="28575">
              <a:solidFill>
                <a:schemeClr val="accent2">
                  <a:lumMod val="75000"/>
                </a:schemeClr>
              </a:solidFill>
              <a:prstDash val="solid"/>
            </a:ln>
          </c:spPr>
          <c:marker>
            <c:symbol val="none"/>
          </c:marker>
          <c:cat>
            <c:strRef>
              <c:f>'WA LNG sales (FY)'!$A$14:$A$34</c:f>
              <c:strCache>
                <c:ptCount val="21"/>
                <c:pt idx="0">
                  <c:v>1999-00</c:v>
                </c:pt>
                <c:pt idx="1">
                  <c:v>2000-01</c:v>
                </c:pt>
                <c:pt idx="2">
                  <c:v>2001-02</c:v>
                </c:pt>
                <c:pt idx="3">
                  <c:v>2002-03</c:v>
                </c:pt>
                <c:pt idx="4">
                  <c:v>2003-04</c:v>
                </c:pt>
                <c:pt idx="5">
                  <c:v>2004-05</c:v>
                </c:pt>
                <c:pt idx="6">
                  <c:v>2005-06</c:v>
                </c:pt>
                <c:pt idx="7">
                  <c:v>2006-07</c:v>
                </c:pt>
                <c:pt idx="8">
                  <c:v>2007-08</c:v>
                </c:pt>
                <c:pt idx="9">
                  <c:v>2008-09</c:v>
                </c:pt>
                <c:pt idx="10">
                  <c:v>2009-10</c:v>
                </c:pt>
                <c:pt idx="11">
                  <c:v>2010-11</c:v>
                </c:pt>
                <c:pt idx="12">
                  <c:v>2011-12</c:v>
                </c:pt>
                <c:pt idx="13">
                  <c:v>2012-13</c:v>
                </c:pt>
                <c:pt idx="14">
                  <c:v>2013-14</c:v>
                </c:pt>
                <c:pt idx="15">
                  <c:v>2014-15</c:v>
                </c:pt>
                <c:pt idx="16">
                  <c:v>2015-16</c:v>
                </c:pt>
                <c:pt idx="17">
                  <c:v>2016-17</c:v>
                </c:pt>
                <c:pt idx="18">
                  <c:v>2017-18</c:v>
                </c:pt>
                <c:pt idx="19">
                  <c:v>2018-19</c:v>
                </c:pt>
                <c:pt idx="20">
                  <c:v>2019-20</c:v>
                </c:pt>
              </c:strCache>
            </c:strRef>
          </c:cat>
          <c:val>
            <c:numRef>
              <c:f>'WA LNG sales (FY)'!$B$14:$B$34</c:f>
              <c:numCache>
                <c:formatCode>0.0</c:formatCode>
                <c:ptCount val="21"/>
                <c:pt idx="0">
                  <c:v>1.9710604250000001</c:v>
                </c:pt>
                <c:pt idx="1">
                  <c:v>3.01243089187254</c:v>
                </c:pt>
                <c:pt idx="2">
                  <c:v>3.0063975352374599</c:v>
                </c:pt>
                <c:pt idx="3">
                  <c:v>3.1308280430000002</c:v>
                </c:pt>
                <c:pt idx="4">
                  <c:v>2.7758814919999995</c:v>
                </c:pt>
                <c:pt idx="5">
                  <c:v>3.7948053936174864</c:v>
                </c:pt>
                <c:pt idx="6">
                  <c:v>4.6489595326157493</c:v>
                </c:pt>
                <c:pt idx="7">
                  <c:v>4.4343593540799162</c:v>
                </c:pt>
                <c:pt idx="8">
                  <c:v>5.2196847647091253</c:v>
                </c:pt>
                <c:pt idx="9">
                  <c:v>8.5175038741467546</c:v>
                </c:pt>
                <c:pt idx="10">
                  <c:v>7.4942483203693309</c:v>
                </c:pt>
                <c:pt idx="11">
                  <c:v>8.3287191179769078</c:v>
                </c:pt>
                <c:pt idx="12">
                  <c:v>9.4955431324315658</c:v>
                </c:pt>
                <c:pt idx="13">
                  <c:v>12.147214397231801</c:v>
                </c:pt>
                <c:pt idx="14">
                  <c:v>14.651522773511283</c:v>
                </c:pt>
                <c:pt idx="15">
                  <c:v>13.817042486841991</c:v>
                </c:pt>
                <c:pt idx="16">
                  <c:v>10.764545352932773</c:v>
                </c:pt>
                <c:pt idx="17">
                  <c:v>12.728310038069868</c:v>
                </c:pt>
                <c:pt idx="18">
                  <c:v>18.920841692784386</c:v>
                </c:pt>
                <c:pt idx="19">
                  <c:v>29.005992287212116</c:v>
                </c:pt>
                <c:pt idx="20">
                  <c:v>27.078672195250977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0956-4181-9B3E-85B9528AD7B1}"/>
            </c:ext>
          </c:extLst>
        </c:ser>
        <c:ser>
          <c:idx val="2"/>
          <c:order val="2"/>
          <c:tx>
            <c:strRef>
              <c:f>'WA LNG sales (FY)'!$G$8</c:f>
              <c:strCache>
                <c:ptCount val="1"/>
                <c:pt idx="0">
                  <c:v>Other petroleum value^</c:v>
                </c:pt>
              </c:strCache>
            </c:strRef>
          </c:tx>
          <c:spPr>
            <a:ln w="28575">
              <a:solidFill>
                <a:schemeClr val="accent2">
                  <a:lumMod val="40000"/>
                  <a:lumOff val="60000"/>
                </a:schemeClr>
              </a:solidFill>
              <a:prstDash val="solid"/>
            </a:ln>
          </c:spPr>
          <c:marker>
            <c:symbol val="none"/>
          </c:marker>
          <c:cat>
            <c:strRef>
              <c:f>'WA LNG sales (FY)'!$A$14:$A$34</c:f>
              <c:strCache>
                <c:ptCount val="21"/>
                <c:pt idx="0">
                  <c:v>1999-00</c:v>
                </c:pt>
                <c:pt idx="1">
                  <c:v>2000-01</c:v>
                </c:pt>
                <c:pt idx="2">
                  <c:v>2001-02</c:v>
                </c:pt>
                <c:pt idx="3">
                  <c:v>2002-03</c:v>
                </c:pt>
                <c:pt idx="4">
                  <c:v>2003-04</c:v>
                </c:pt>
                <c:pt idx="5">
                  <c:v>2004-05</c:v>
                </c:pt>
                <c:pt idx="6">
                  <c:v>2005-06</c:v>
                </c:pt>
                <c:pt idx="7">
                  <c:v>2006-07</c:v>
                </c:pt>
                <c:pt idx="8">
                  <c:v>2007-08</c:v>
                </c:pt>
                <c:pt idx="9">
                  <c:v>2008-09</c:v>
                </c:pt>
                <c:pt idx="10">
                  <c:v>2009-10</c:v>
                </c:pt>
                <c:pt idx="11">
                  <c:v>2010-11</c:v>
                </c:pt>
                <c:pt idx="12">
                  <c:v>2011-12</c:v>
                </c:pt>
                <c:pt idx="13">
                  <c:v>2012-13</c:v>
                </c:pt>
                <c:pt idx="14">
                  <c:v>2013-14</c:v>
                </c:pt>
                <c:pt idx="15">
                  <c:v>2014-15</c:v>
                </c:pt>
                <c:pt idx="16">
                  <c:v>2015-16</c:v>
                </c:pt>
                <c:pt idx="17">
                  <c:v>2016-17</c:v>
                </c:pt>
                <c:pt idx="18">
                  <c:v>2017-18</c:v>
                </c:pt>
                <c:pt idx="19">
                  <c:v>2018-19</c:v>
                </c:pt>
                <c:pt idx="20">
                  <c:v>2019-20</c:v>
                </c:pt>
              </c:strCache>
            </c:strRef>
          </c:cat>
          <c:val>
            <c:numRef>
              <c:f>'WA LNG sales (FY)'!$G$14:$G$34</c:f>
              <c:numCache>
                <c:formatCode>0.0</c:formatCode>
                <c:ptCount val="21"/>
                <c:pt idx="0">
                  <c:v>5.6443102659999997</c:v>
                </c:pt>
                <c:pt idx="1">
                  <c:v>7.4995488255804155</c:v>
                </c:pt>
                <c:pt idx="2">
                  <c:v>6.84787785076254</c:v>
                </c:pt>
                <c:pt idx="3">
                  <c:v>7.3602788380000002</c:v>
                </c:pt>
                <c:pt idx="4">
                  <c:v>6.4843421160000005</c:v>
                </c:pt>
                <c:pt idx="5">
                  <c:v>8.462193186312831</c:v>
                </c:pt>
                <c:pt idx="6">
                  <c:v>10.048324591393499</c:v>
                </c:pt>
                <c:pt idx="7">
                  <c:v>12.025109202425924</c:v>
                </c:pt>
                <c:pt idx="8">
                  <c:v>14.098257602995101</c:v>
                </c:pt>
                <c:pt idx="9">
                  <c:v>12.80231832281661</c:v>
                </c:pt>
                <c:pt idx="10">
                  <c:v>11.903961868195548</c:v>
                </c:pt>
                <c:pt idx="11">
                  <c:v>14.656173383009984</c:v>
                </c:pt>
                <c:pt idx="12">
                  <c:v>13.70303991228098</c:v>
                </c:pt>
                <c:pt idx="13">
                  <c:v>11.962694130919568</c:v>
                </c:pt>
                <c:pt idx="14">
                  <c:v>10.385876410156419</c:v>
                </c:pt>
                <c:pt idx="15">
                  <c:v>10.322226962208038</c:v>
                </c:pt>
                <c:pt idx="16">
                  <c:v>7.4652878462809991</c:v>
                </c:pt>
                <c:pt idx="17">
                  <c:v>6.4432619382481597</c:v>
                </c:pt>
                <c:pt idx="18">
                  <c:v>7.6975477236333241</c:v>
                </c:pt>
                <c:pt idx="19">
                  <c:v>10.136173556942623</c:v>
                </c:pt>
                <c:pt idx="20">
                  <c:v>10.353329061580116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0956-4181-9B3E-85B9528AD7B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39720576"/>
        <c:axId val="139722112"/>
      </c:lineChart>
      <c:dateAx>
        <c:axId val="139720576"/>
        <c:scaling>
          <c:orientation val="minMax"/>
        </c:scaling>
        <c:delete val="0"/>
        <c:axPos val="b"/>
        <c:numFmt formatCode="General" sourceLinked="1"/>
        <c:majorTickMark val="in"/>
        <c:minorTickMark val="none"/>
        <c:tickLblPos val="nextTo"/>
        <c:spPr>
          <a:ln/>
        </c:spPr>
        <c:crossAx val="139722112"/>
        <c:crosses val="autoZero"/>
        <c:auto val="0"/>
        <c:lblOffset val="0"/>
        <c:baseTimeUnit val="days"/>
        <c:majorUnit val="4"/>
        <c:majorTimeUnit val="days"/>
        <c:minorUnit val="1"/>
        <c:minorTimeUnit val="days"/>
      </c:dateAx>
      <c:valAx>
        <c:axId val="139722112"/>
        <c:scaling>
          <c:orientation val="minMax"/>
          <c:max val="30"/>
        </c:scaling>
        <c:delete val="0"/>
        <c:axPos val="l"/>
        <c:majorGridlines/>
        <c:numFmt formatCode="&quot;$&quot;0&quot;b&quot;" sourceLinked="0"/>
        <c:majorTickMark val="in"/>
        <c:minorTickMark val="none"/>
        <c:tickLblPos val="nextTo"/>
        <c:spPr>
          <a:ln/>
        </c:spPr>
        <c:crossAx val="139720576"/>
        <c:crosses val="autoZero"/>
        <c:crossBetween val="between"/>
        <c:majorUnit val="6"/>
        <c:minorUnit val="2"/>
      </c:valAx>
      <c:valAx>
        <c:axId val="134677632"/>
        <c:scaling>
          <c:orientation val="minMax"/>
          <c:max val="50"/>
        </c:scaling>
        <c:delete val="0"/>
        <c:axPos val="r"/>
        <c:numFmt formatCode="0\ &quot;mt&quot;" sourceLinked="0"/>
        <c:majorTickMark val="in"/>
        <c:minorTickMark val="in"/>
        <c:tickLblPos val="nextTo"/>
        <c:spPr>
          <a:ln/>
        </c:spPr>
        <c:crossAx val="134679168"/>
        <c:crosses val="max"/>
        <c:crossBetween val="between"/>
        <c:majorUnit val="10"/>
        <c:minorUnit val="4"/>
      </c:valAx>
      <c:dateAx>
        <c:axId val="134679168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134677632"/>
        <c:crosses val="autoZero"/>
        <c:auto val="0"/>
        <c:lblOffset val="100"/>
        <c:baseTimeUnit val="days"/>
      </c:dateAx>
    </c:plotArea>
    <c:legend>
      <c:legendPos val="b"/>
      <c:layout>
        <c:manualLayout>
          <c:xMode val="edge"/>
          <c:yMode val="edge"/>
          <c:x val="0"/>
          <c:y val="0.92025925925925911"/>
          <c:w val="1"/>
          <c:h val="7.9740740740740737E-2"/>
        </c:manualLayout>
      </c:layout>
      <c:overlay val="0"/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800"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bar"/>
        <c:grouping val="clustered"/>
        <c:varyColors val="0"/>
        <c:ser>
          <c:idx val="2"/>
          <c:order val="0"/>
          <c:tx>
            <c:strRef>
              <c:f>'WA LNG sales des (FY)'!$T$17</c:f>
              <c:strCache>
                <c:ptCount val="1"/>
                <c:pt idx="0">
                  <c:v>2019-20</c:v>
                </c:pt>
              </c:strCache>
            </c:strRef>
          </c:tx>
          <c:spPr>
            <a:solidFill>
              <a:schemeClr val="accent2">
                <a:lumMod val="40000"/>
                <a:lumOff val="60000"/>
              </a:schemeClr>
            </a:solidFill>
            <a:ln>
              <a:noFill/>
            </a:ln>
            <a:effectLst/>
          </c:spPr>
          <c:invertIfNegative val="0"/>
          <c:cat>
            <c:strRef>
              <c:f>'WA LNG sales des (FY)'!$U$13:$AB$13</c:f>
              <c:strCache>
                <c:ptCount val="8"/>
                <c:pt idx="0">
                  <c:v>Others^</c:v>
                </c:pt>
                <c:pt idx="1">
                  <c:v>Thailand</c:v>
                </c:pt>
                <c:pt idx="2">
                  <c:v>India</c:v>
                </c:pt>
                <c:pt idx="3">
                  <c:v>Singapore</c:v>
                </c:pt>
                <c:pt idx="4">
                  <c:v>Taiwan</c:v>
                </c:pt>
                <c:pt idx="5">
                  <c:v>Korea</c:v>
                </c:pt>
                <c:pt idx="6">
                  <c:v>China</c:v>
                </c:pt>
                <c:pt idx="7">
                  <c:v>Japan</c:v>
                </c:pt>
              </c:strCache>
            </c:strRef>
          </c:cat>
          <c:val>
            <c:numRef>
              <c:f>'WA LNG sales des (FY)'!$U$17:$AB$17</c:f>
              <c:numCache>
                <c:formatCode>0.0</c:formatCode>
                <c:ptCount val="8"/>
                <c:pt idx="0">
                  <c:v>0.22776498764999076</c:v>
                </c:pt>
                <c:pt idx="1">
                  <c:v>0.77936194399999992</c:v>
                </c:pt>
                <c:pt idx="2">
                  <c:v>0.76251971391125006</c:v>
                </c:pt>
                <c:pt idx="3">
                  <c:v>1.6855282569999999</c:v>
                </c:pt>
                <c:pt idx="4">
                  <c:v>2.4161090532185003</c:v>
                </c:pt>
                <c:pt idx="5">
                  <c:v>4.5313931383280002</c:v>
                </c:pt>
                <c:pt idx="6">
                  <c:v>13.355393072555751</c:v>
                </c:pt>
                <c:pt idx="7">
                  <c:v>22.0643428080155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2D6-4C97-9920-DCD06940EF17}"/>
            </c:ext>
          </c:extLst>
        </c:ser>
        <c:ser>
          <c:idx val="1"/>
          <c:order val="1"/>
          <c:tx>
            <c:strRef>
              <c:f>'WA LNG sales des (FY)'!$T$16</c:f>
              <c:strCache>
                <c:ptCount val="1"/>
                <c:pt idx="0">
                  <c:v>2018-19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'WA LNG sales des (FY)'!$U$13:$AB$13</c:f>
              <c:strCache>
                <c:ptCount val="8"/>
                <c:pt idx="0">
                  <c:v>Others^</c:v>
                </c:pt>
                <c:pt idx="1">
                  <c:v>Thailand</c:v>
                </c:pt>
                <c:pt idx="2">
                  <c:v>India</c:v>
                </c:pt>
                <c:pt idx="3">
                  <c:v>Singapore</c:v>
                </c:pt>
                <c:pt idx="4">
                  <c:v>Taiwan</c:v>
                </c:pt>
                <c:pt idx="5">
                  <c:v>Korea</c:v>
                </c:pt>
                <c:pt idx="6">
                  <c:v>China</c:v>
                </c:pt>
                <c:pt idx="7">
                  <c:v>Japan</c:v>
                </c:pt>
              </c:strCache>
            </c:strRef>
          </c:cat>
          <c:val>
            <c:numRef>
              <c:f>'WA LNG sales des (FY)'!$U$16:$AB$16</c:f>
              <c:numCache>
                <c:formatCode>0.0</c:formatCode>
                <c:ptCount val="8"/>
                <c:pt idx="0">
                  <c:v>0.26306101962500605</c:v>
                </c:pt>
                <c:pt idx="1">
                  <c:v>0.6537872679615</c:v>
                </c:pt>
                <c:pt idx="2">
                  <c:v>1.2927877026250001</c:v>
                </c:pt>
                <c:pt idx="3">
                  <c:v>1.6599371450787501</c:v>
                </c:pt>
                <c:pt idx="4">
                  <c:v>2.3890398067977499</c:v>
                </c:pt>
                <c:pt idx="5">
                  <c:v>4.6239555811185005</c:v>
                </c:pt>
                <c:pt idx="6">
                  <c:v>11.398009034832498</c:v>
                </c:pt>
                <c:pt idx="7">
                  <c:v>23.570308074543245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2D6-4C97-9920-DCD06940EF1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axId val="1144527408"/>
        <c:axId val="1144528720"/>
      </c:barChart>
      <c:catAx>
        <c:axId val="114452740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144528720"/>
        <c:crosses val="autoZero"/>
        <c:auto val="1"/>
        <c:lblAlgn val="ctr"/>
        <c:lblOffset val="100"/>
        <c:noMultiLvlLbl val="0"/>
      </c:catAx>
      <c:valAx>
        <c:axId val="1144528720"/>
        <c:scaling>
          <c:orientation val="minMax"/>
          <c:max val="25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\ &quot;mt&quot;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1445274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800"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4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-7.611528038357307E-2"/>
                  <c:y val="-1.0233414365940121E-1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0-CEAF-46CE-942B-30D0400EBEF8}"/>
                </c:ext>
              </c:extLst>
            </c:dLbl>
            <c:dLbl>
              <c:idx val="1"/>
              <c:layout>
                <c:manualLayout>
                  <c:x val="-6.949656035021888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1-CEAF-46CE-942B-30D0400EBEF8}"/>
                </c:ext>
              </c:extLst>
            </c:dLbl>
            <c:dLbl>
              <c:idx val="2"/>
              <c:layout>
                <c:manualLayout>
                  <c:x val="-6.949656035021888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2-CEAF-46CE-942B-30D0400EBEF8}"/>
                </c:ext>
              </c:extLst>
            </c:dLbl>
            <c:dLbl>
              <c:idx val="3"/>
              <c:layout>
                <c:manualLayout>
                  <c:x val="-6.949656035021888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3-CEAF-46CE-942B-30D0400EBEF8}"/>
                </c:ext>
              </c:extLst>
            </c:dLbl>
            <c:dLbl>
              <c:idx val="4"/>
              <c:layout>
                <c:manualLayout>
                  <c:x val="-7.611528038357307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4-CEAF-46CE-942B-30D0400EBEF8}"/>
                </c:ext>
              </c:extLst>
            </c:dLbl>
            <c:dLbl>
              <c:idx val="5"/>
              <c:layout>
                <c:manualLayout>
                  <c:x val="-7.2805920366896038E-2"/>
                  <c:y val="-5.581926863572433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5-CEAF-46CE-942B-30D0400EBEF8}"/>
                </c:ext>
              </c:extLst>
            </c:dLbl>
            <c:dLbl>
              <c:idx val="6"/>
              <c:layout>
                <c:manualLayout>
                  <c:x val="-7.280592036689598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6-CEAF-46CE-942B-30D0400EBEF8}"/>
                </c:ext>
              </c:extLst>
            </c:dLbl>
            <c:dLbl>
              <c:idx val="7"/>
              <c:layout>
                <c:manualLayout>
                  <c:x val="-8.93527204502814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7-CEAF-46CE-942B-30D0400EBEF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bg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'WA LNG production by company'!$A$32:$A$39</c:f>
              <c:strCache>
                <c:ptCount val="8"/>
                <c:pt idx="0">
                  <c:v>Others^</c:v>
                </c:pt>
                <c:pt idx="1">
                  <c:v>MIMI</c:v>
                </c:pt>
                <c:pt idx="2">
                  <c:v>BP</c:v>
                </c:pt>
                <c:pt idx="3">
                  <c:v>BHP</c:v>
                </c:pt>
                <c:pt idx="4">
                  <c:v>Exxon Mobil</c:v>
                </c:pt>
                <c:pt idx="5">
                  <c:v>Shell</c:v>
                </c:pt>
                <c:pt idx="6">
                  <c:v>Woodside</c:v>
                </c:pt>
                <c:pt idx="7">
                  <c:v>Chevron</c:v>
                </c:pt>
              </c:strCache>
            </c:strRef>
          </c:cat>
          <c:val>
            <c:numRef>
              <c:f>'WA LNG production by company'!$B$32:$B$39</c:f>
              <c:numCache>
                <c:formatCode>#,##0.0</c:formatCode>
                <c:ptCount val="8"/>
                <c:pt idx="0">
                  <c:v>4.3073554340179356</c:v>
                </c:pt>
                <c:pt idx="1">
                  <c:v>2.514977</c:v>
                </c:pt>
                <c:pt idx="2">
                  <c:v>2.514977</c:v>
                </c:pt>
                <c:pt idx="3">
                  <c:v>2.514977</c:v>
                </c:pt>
                <c:pt idx="4">
                  <c:v>3.4889854789374986</c:v>
                </c:pt>
                <c:pt idx="5">
                  <c:v>6.6851193374276425</c:v>
                </c:pt>
                <c:pt idx="6">
                  <c:v>8.3917619999999999</c:v>
                </c:pt>
                <c:pt idx="7">
                  <c:v>15.285687714981945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CEAF-46CE-942B-30D0400EBE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0"/>
        <c:axId val="1245712152"/>
        <c:axId val="1245711824"/>
      </c:barChart>
      <c:catAx>
        <c:axId val="124571215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245711824"/>
        <c:crosses val="autoZero"/>
        <c:auto val="1"/>
        <c:lblAlgn val="ctr"/>
        <c:lblOffset val="100"/>
        <c:noMultiLvlLbl val="0"/>
      </c:catAx>
      <c:valAx>
        <c:axId val="1245711824"/>
        <c:scaling>
          <c:orientation val="minMax"/>
          <c:max val="16"/>
        </c:scaling>
        <c:delete val="0"/>
        <c:axPos val="b"/>
        <c:numFmt formatCode="0\ &quot;mt&quot;" sourceLinked="0"/>
        <c:majorTickMark val="none"/>
        <c:minorTickMark val="none"/>
        <c:tickLblPos val="nextTo"/>
        <c:spPr>
          <a:noFill/>
          <a:ln>
            <a:solidFill>
              <a:schemeClr val="tx1">
                <a:lumMod val="50000"/>
                <a:lumOff val="50000"/>
              </a:schemeClr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245712152"/>
        <c:crosses val="autoZero"/>
        <c:crossBetween val="between"/>
        <c:majorUnit val="4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800"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0.28598</cdr:x>
      <cdr:y>0.19079</cdr:y>
    </cdr:from>
    <cdr:to>
      <cdr:x>0.4481</cdr:x>
      <cdr:y>0.36466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209695" y="480794"/>
          <a:ext cx="685768" cy="43815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pPr algn="ctr"/>
          <a:r>
            <a:rPr lang="en-AU" sz="800">
              <a:latin typeface="Arial" panose="020B0604020202020204" pitchFamily="34" charset="0"/>
              <a:cs typeface="Arial" panose="020B0604020202020204" pitchFamily="34" charset="0"/>
            </a:rPr>
            <a:t>Rest of </a:t>
          </a:r>
        </a:p>
        <a:p xmlns:a="http://schemas.openxmlformats.org/drawingml/2006/main">
          <a:pPr algn="ctr"/>
          <a:r>
            <a:rPr lang="en-AU" sz="800">
              <a:latin typeface="Arial" panose="020B0604020202020204" pitchFamily="34" charset="0"/>
              <a:cs typeface="Arial" panose="020B0604020202020204" pitchFamily="34" charset="0"/>
            </a:rPr>
            <a:t>Australia</a:t>
          </a:r>
        </a:p>
      </cdr:txBody>
    </cdr:sp>
  </cdr:relSizeAnchor>
  <cdr:relSizeAnchor xmlns:cdr="http://schemas.openxmlformats.org/drawingml/2006/chartDrawing">
    <cdr:from>
      <cdr:x>0.25896</cdr:x>
      <cdr:y>0.3949</cdr:y>
    </cdr:from>
    <cdr:to>
      <cdr:x>0.47513</cdr:x>
      <cdr:y>0.53097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1095393" y="995153"/>
          <a:ext cx="914399" cy="34289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pPr algn="ctr"/>
          <a:r>
            <a:rPr lang="en-AU" sz="800">
              <a:latin typeface="Arial" panose="020B0604020202020204" pitchFamily="34" charset="0"/>
              <a:cs typeface="Arial" panose="020B0604020202020204" pitchFamily="34" charset="0"/>
            </a:rPr>
            <a:t>Western</a:t>
          </a:r>
        </a:p>
        <a:p xmlns:a="http://schemas.openxmlformats.org/drawingml/2006/main">
          <a:pPr algn="ctr"/>
          <a:r>
            <a:rPr lang="en-AU" sz="800">
              <a:latin typeface="Arial" panose="020B0604020202020204" pitchFamily="34" charset="0"/>
              <a:cs typeface="Arial" panose="020B0604020202020204" pitchFamily="34" charset="0"/>
            </a:rPr>
            <a:t>Australia</a:t>
          </a: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haredContentType xmlns="Microsoft.SharePoint.Taxonomy.ContentTypeSync" SourceId="bc37dfbe-9a1a-4235-abd7-8bc54474f3d7" ContentTypeId="0x0101000AC6246A9CD2FC45B52DC6FEC0F0AAAA" PreviousValue="false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OurDocsVersionReason xmlns="0c56a47d-469b-460c-81a1-345d54cdeeee" xsi:nil="true"/>
    <OurDocsVersionCreatedAt xmlns="0c56a47d-469b-460c-81a1-345d54cdeeee">2020-10-09T02:51:55+00:00</OurDocsVersionCreatedAt>
    <OurDocsDocId xmlns="0c56a47d-469b-460c-81a1-345d54cdeeee">001879policy.data</OurDocsDocId>
    <OurDocsDocumentSource xmlns="0c56a47d-469b-460c-81a1-345d54cdeeee">External</OurDocsDocumentSource>
    <OurDocsFileNumbers xmlns="0c56a47d-469b-460c-81a1-345d54cdeeee">J0174/201701</OurDocsFileNumbers>
    <OurDocsLocation xmlns="0c56a47d-469b-460c-81a1-345d54cdeeee">Perth</OurDocsLocation>
    <OurDocsDataStore xmlns="0c56a47d-469b-460c-81a1-345d54cdeeee">Central</OurDocsDataStore>
    <OurDocsReleaseClassification xmlns="0c56a47d-469b-460c-81a1-345d54cdeeee">For Public Release</OurDocsReleaseClassification>
    <OurDocsTitle xmlns="0c56a47d-469b-460c-81a1-345d54cdeeee">WA LNG Profile - September 2020</OurDocsTitle>
    <OurDocsLockedOnBehalfOf xmlns="0c56a47d-469b-460c-81a1-345d54cdeeee" xsi:nil="true"/>
    <OurDocsVersionNumber xmlns="0c56a47d-469b-460c-81a1-345d54cdeeee">1</OurDocsVersionNumber>
    <OurDocsAuthor xmlns="0c56a47d-469b-460c-81a1-345d54cdeeee">LeeMei.FOO</OurDocsAuthor>
    <OurDocsDescription xmlns="0c56a47d-469b-460c-81a1-345d54cdeeee" xsi:nil="true"/>
    <OurDocsVersionCreatedBy xmlns="0c56a47d-469b-460c-81a1-345d54cdeeee">MIDSDMT</OurDocsVersionCreatedBy>
    <OurDocsIsLocked xmlns="0c56a47d-469b-460c-81a1-345d54cdeeee">false</OurDocsIsLocked>
    <OurDocsDocumentType xmlns="0c56a47d-469b-460c-81a1-345d54cdeeee">Web Document</OurDocsDocumentType>
    <OurDocsIsRecordsDocument xmlns="0c56a47d-469b-460c-81a1-345d54cdeeee">true</OurDocsIsRecordsDocument>
    <OurDocsDocumentDate xmlns="0c56a47d-469b-460c-81a1-345d54cdeeee">2020-10-08T16:00:00+00:00</OurDocsDocumentDate>
    <OurDocsLockedBy xmlns="0c56a47d-469b-460c-81a1-345d54cdeeee" xsi:nil="true"/>
    <OurDocsLockedOn xmlns="0c56a47d-469b-460c-81a1-345d54cdeeee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OurDocs Document" ma:contentTypeID="0x0101000AC6246A9CD2FC45B52DC6FEC0F0AAAA002C39F3B3B96C1F4B98517E6443C184DE" ma:contentTypeVersion="12" ma:contentTypeDescription="Create a new document." ma:contentTypeScope="" ma:versionID="7fd6e5eedbd6d6bbc4f050dbc7b7190a">
  <xsd:schema xmlns:xsd="http://www.w3.org/2001/XMLSchema" xmlns:xs="http://www.w3.org/2001/XMLSchema" xmlns:p="http://schemas.microsoft.com/office/2006/metadata/properties" xmlns:ns2="0c56a47d-469b-460c-81a1-345d54cdeeee" targetNamespace="http://schemas.microsoft.com/office/2006/metadata/properties" ma:root="true" ma:fieldsID="92f4de51a2ba04263f7c8fc2be9dabf8" ns2:_="">
    <xsd:import namespace="0c56a47d-469b-460c-81a1-345d54cdeeee"/>
    <xsd:element name="properties">
      <xsd:complexType>
        <xsd:sequence>
          <xsd:element name="documentManagement">
            <xsd:complexType>
              <xsd:all>
                <xsd:element ref="ns2:OurDocsDataStore"/>
                <xsd:element ref="ns2:OurDocsDocId"/>
                <xsd:element ref="ns2:OurDocsVersionNumber"/>
                <xsd:element ref="ns2:OurDocsIsRecordsDocument" minOccurs="0"/>
                <xsd:element ref="ns2:OurDocsIsLocked" minOccurs="0"/>
                <xsd:element ref="ns2:OurDocsTitle" minOccurs="0"/>
                <xsd:element ref="ns2:OurDocsDescription" minOccurs="0"/>
                <xsd:element ref="ns2:OurDocsAuthor" minOccurs="0"/>
                <xsd:element ref="ns2:OurDocsLocation" minOccurs="0"/>
                <xsd:element ref="ns2:OurDocsReleaseClassification" minOccurs="0"/>
                <xsd:element ref="ns2:OurDocsDocumentType" minOccurs="0"/>
                <xsd:element ref="ns2:OurDocsDocumentDate" minOccurs="0"/>
                <xsd:element ref="ns2:OurDocsDocumentSource" minOccurs="0"/>
                <xsd:element ref="ns2:OurDocsFileNumbers" minOccurs="0"/>
                <xsd:element ref="ns2:OurDocsLockedBy" minOccurs="0"/>
                <xsd:element ref="ns2:OurDocsLockedOnBehalfOf" minOccurs="0"/>
                <xsd:element ref="ns2:OurDocsLockedOn" minOccurs="0"/>
                <xsd:element ref="ns2:OurDocsVersionCreatedBy" minOccurs="0"/>
                <xsd:element ref="ns2:OurDocsVersionCreatedAt" minOccurs="0"/>
                <xsd:element ref="ns2:OurDocsVersionReas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c56a47d-469b-460c-81a1-345d54cdeeee" elementFormDefault="qualified">
    <xsd:import namespace="http://schemas.microsoft.com/office/2006/documentManagement/types"/>
    <xsd:import namespace="http://schemas.microsoft.com/office/infopath/2007/PartnerControls"/>
    <xsd:element name="OurDocsDataStore" ma:index="8" ma:displayName="DataStore" ma:internalName="OurDocsDataStore">
      <xsd:simpleType>
        <xsd:restriction base="dms:Text"/>
      </xsd:simpleType>
    </xsd:element>
    <xsd:element name="OurDocsDocId" ma:index="9" ma:displayName="DocId" ma:internalName="OurDocsDocId">
      <xsd:simpleType>
        <xsd:restriction base="dms:Text"/>
      </xsd:simpleType>
    </xsd:element>
    <xsd:element name="OurDocsVersionNumber" ma:index="10" ma:displayName="VersionNumber" ma:internalName="OurDocsVersionNumber">
      <xsd:simpleType>
        <xsd:restriction base="dms:Text"/>
      </xsd:simpleType>
    </xsd:element>
    <xsd:element name="OurDocsIsRecordsDocument" ma:index="11" nillable="true" ma:displayName="IsRecordsDocument" ma:internalName="OurDocsIsRecordsDocument">
      <xsd:simpleType>
        <xsd:restriction base="dms:Boolean"/>
      </xsd:simpleType>
    </xsd:element>
    <xsd:element name="OurDocsIsLocked" ma:index="12" nillable="true" ma:displayName="IsLocked" ma:internalName="OurDocsIsLocked">
      <xsd:simpleType>
        <xsd:restriction base="dms:Boolean"/>
      </xsd:simpleType>
    </xsd:element>
    <xsd:element name="OurDocsTitle" ma:index="13" nillable="true" ma:displayName="Title" ma:internalName="OurDocsTitle">
      <xsd:simpleType>
        <xsd:restriction base="dms:Text"/>
      </xsd:simpleType>
    </xsd:element>
    <xsd:element name="OurDocsDescription" ma:index="14" nillable="true" ma:displayName="Description" ma:internalName="OurDocsDescription">
      <xsd:simpleType>
        <xsd:restriction base="dms:Note">
          <xsd:maxLength value="255"/>
        </xsd:restriction>
      </xsd:simpleType>
    </xsd:element>
    <xsd:element name="OurDocsAuthor" ma:index="15" nillable="true" ma:displayName="Author" ma:internalName="OurDocsAuthor">
      <xsd:simpleType>
        <xsd:restriction base="dms:Text"/>
      </xsd:simpleType>
    </xsd:element>
    <xsd:element name="OurDocsLocation" ma:index="16" nillable="true" ma:displayName="Location" ma:internalName="OurDocsLocation">
      <xsd:simpleType>
        <xsd:restriction base="dms:Text"/>
      </xsd:simpleType>
    </xsd:element>
    <xsd:element name="OurDocsReleaseClassification" ma:index="17" nillable="true" ma:displayName="ReleaseClassification" ma:internalName="OurDocsReleaseClassification">
      <xsd:simpleType>
        <xsd:restriction base="dms:Choice">
          <xsd:enumeration value="Departmental Use Only"/>
          <xsd:enumeration value="Within Government Only"/>
          <xsd:enumeration value="Addressee Use Only"/>
          <xsd:enumeration value="Addressee and Within Government Only"/>
          <xsd:enumeration value="For Public Release"/>
          <xsd:enumeration value="UNKNOWN"/>
        </xsd:restriction>
      </xsd:simpleType>
    </xsd:element>
    <xsd:element name="OurDocsDocumentType" ma:index="18" nillable="true" ma:displayName="DocumentType" ma:internalName="OurDocsDocumentType">
      <xsd:simpleType>
        <xsd:restriction base="dms:Choice">
          <xsd:enumeration value="Administration"/>
          <xsd:enumeration value="Agenda"/>
          <xsd:enumeration value="Appointment"/>
          <xsd:enumeration value="Briefing Note"/>
          <xsd:enumeration value="Corporate Executive"/>
          <xsd:enumeration value="Corporate Form"/>
          <xsd:enumeration value="Corporate Policy"/>
          <xsd:enumeration value="Corporate Procedure"/>
          <xsd:enumeration value="Document"/>
          <xsd:enumeration value="Documentation"/>
          <xsd:enumeration value="Email"/>
          <xsd:enumeration value="External Presentations"/>
          <xsd:enumeration value="External Published Document"/>
          <xsd:enumeration value="Facsimile"/>
          <xsd:enumeration value="File"/>
          <xsd:enumeration value="File Note"/>
          <xsd:enumeration value="Form"/>
          <xsd:enumeration value="Incident Report"/>
          <xsd:enumeration value="Internal Memo"/>
          <xsd:enumeration value="Internal Presentations"/>
          <xsd:enumeration value="Investigation Document"/>
          <xsd:enumeration value="Letter"/>
          <xsd:enumeration value="Major Private Project Status Report"/>
          <xsd:enumeration value="Map"/>
          <xsd:enumeration value="Memorandum"/>
          <xsd:enumeration value="Ministerial"/>
          <xsd:enumeration value="Minutes"/>
          <xsd:enumeration value="Note"/>
          <xsd:enumeration value="Official Presentation"/>
          <xsd:enumeration value="Official Presentations"/>
          <xsd:enumeration value="Operational Plan"/>
          <xsd:enumeration value="Other"/>
          <xsd:enumeration value="Permit"/>
          <xsd:enumeration value="Photos"/>
          <xsd:enumeration value="Policy"/>
          <xsd:enumeration value="Post Implementation Review"/>
          <xsd:enumeration value="Press Clipping"/>
          <xsd:enumeration value="Press Release"/>
          <xsd:enumeration value="Procurement"/>
          <xsd:enumeration value="Procedure"/>
          <xsd:enumeration value="Project Plan"/>
          <xsd:enumeration value="Project Proposal"/>
          <xsd:enumeration value="Quote"/>
          <xsd:enumeration value="Report"/>
          <xsd:enumeration value="Service Level Worksheets"/>
          <xsd:enumeration value="Speech"/>
          <xsd:enumeration value="Standard Project Data"/>
          <xsd:enumeration value="State Initiated Status Report"/>
          <xsd:enumeration value="Training"/>
          <xsd:enumeration value="Web Document"/>
        </xsd:restriction>
      </xsd:simpleType>
    </xsd:element>
    <xsd:element name="OurDocsDocumentDate" ma:index="19" nillable="true" ma:displayName="DocumentDate" ma:internalName="OurDocsDocumentDate">
      <xsd:simpleType>
        <xsd:restriction base="dms:DateTime"/>
      </xsd:simpleType>
    </xsd:element>
    <xsd:element name="OurDocsDocumentSource" ma:index="20" nillable="true" ma:displayName="DocumentSource" ma:internalName="OurDocsDocumentSource">
      <xsd:simpleType>
        <xsd:restriction base="dms:Choice">
          <xsd:enumeration value="Internal"/>
          <xsd:enumeration value="External"/>
          <xsd:enumeration value="UNKNOWN"/>
        </xsd:restriction>
      </xsd:simpleType>
    </xsd:element>
    <xsd:element name="OurDocsFileNumbers" ma:index="21" nillable="true" ma:displayName="FileNumbers" ma:internalName="OurDocsFileNumbers">
      <xsd:simpleType>
        <xsd:restriction base="dms:Note">
          <xsd:maxLength value="255"/>
        </xsd:restriction>
      </xsd:simpleType>
    </xsd:element>
    <xsd:element name="OurDocsLockedBy" ma:index="22" nillable="true" ma:displayName="LockedBy" ma:internalName="OurDocsLockedBy">
      <xsd:simpleType>
        <xsd:restriction base="dms:Text"/>
      </xsd:simpleType>
    </xsd:element>
    <xsd:element name="OurDocsLockedOnBehalfOf" ma:index="23" nillable="true" ma:displayName="LockedOnBehalfOf" ma:internalName="OurDocsLockedOnBehalfOf">
      <xsd:simpleType>
        <xsd:restriction base="dms:Text"/>
      </xsd:simpleType>
    </xsd:element>
    <xsd:element name="OurDocsLockedOn" ma:index="24" nillable="true" ma:displayName="LockedOn" ma:internalName="OurDocsLockedOn">
      <xsd:simpleType>
        <xsd:restriction base="dms:DateTime"/>
      </xsd:simpleType>
    </xsd:element>
    <xsd:element name="OurDocsVersionCreatedBy" ma:index="25" nillable="true" ma:displayName="VersionCreatedBy" ma:internalName="OurDocsVersionCreatedBy">
      <xsd:simpleType>
        <xsd:restriction base="dms:Text"/>
      </xsd:simpleType>
    </xsd:element>
    <xsd:element name="OurDocsVersionCreatedAt" ma:index="26" nillable="true" ma:displayName="VersionCreatedAt" ma:internalName="OurDocsVersionCreatedAt">
      <xsd:simpleType>
        <xsd:restriction base="dms:DateTime"/>
      </xsd:simpleType>
    </xsd:element>
    <xsd:element name="OurDocsVersionReason" ma:index="27" nillable="true" ma:displayName="VersionReason" ma:internalName="OurDocsVersionReason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B617500-1702-4E35-B069-171B2B833B1A}">
  <ds:schemaRefs>
    <ds:schemaRef ds:uri="Microsoft.SharePoint.Taxonomy.ContentTypeSync"/>
  </ds:schemaRefs>
</ds:datastoreItem>
</file>

<file path=customXml/itemProps2.xml><?xml version="1.0" encoding="utf-8"?>
<ds:datastoreItem xmlns:ds="http://schemas.openxmlformats.org/officeDocument/2006/customXml" ds:itemID="{E71D0957-4E2D-4849-B11E-07D4A4E2FD7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2CE4A79-A395-4DA5-ABDB-410F24D269FB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0c56a47d-469b-460c-81a1-345d54cdeeee"/>
    <ds:schemaRef ds:uri="http://www.w3.org/XML/1998/namespace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7F8D1621-9E1D-41F1-B33B-E70B74BC4D5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c56a47d-469b-460c-81a1-345d54cdeee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A4B82BBF-E681-4FAB-8981-BEEB49ED43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1814</Words>
  <Characters>9380</Characters>
  <Application>Microsoft Office Word</Application>
  <DocSecurity>0</DocSecurity>
  <Lines>390</Lines>
  <Paragraphs>233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WA LNG Profile - September 2020</vt:lpstr>
    </vt:vector>
  </TitlesOfParts>
  <Company>Department of Mines and Petroleum</Company>
  <LinksUpToDate>false</LinksUpToDate>
  <CharactersWithSpaces>10961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WA LNG Profile - September 2020</dc:title>
  <dc:subject/>
  <dc:creator>LeeMei.FOO</dc:creator>
  <cp:lastModifiedBy>THOMAS, Mike</cp:lastModifiedBy>
  <cp:revision>2</cp:revision>
  <cp:lastPrinted>2019-06-10T02:57:00Z</cp:lastPrinted>
  <dcterms:created xsi:type="dcterms:W3CDTF">2020-10-09T03:22:00Z</dcterms:created>
  <dcterms:modified xsi:type="dcterms:W3CDTF">2020-10-09T03:22:00Z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0x0101000AC6246A9CD2FC45B52DC6FEC0F0AAAA002C39F3B3B96C1F4B98517E6443C184DE</vt:lpwstr>
  </property>
  <property fmtid="{D5CDD505-2E9C-101B-9397-08002B2CF9AE}" pid="3" name="DataStore">
    <vt:lpwstr>Central</vt:lpwstr>
  </property>
</Properties>
</file>